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spacing w:before="1600" w:after="480"/>
      </w:pPr>
      <w:r>
        <w:rPr>
          <w:sz w:val="22"/>
        </w:rPr>
        <w:t>WHITE PAPER</w:t>
      </w:r>
    </w:p>
    <w:p>
      <w:pPr>
        <w:pStyle w:val="Title"/>
      </w:pPr>
      <w:r>
        <w:rPr>
          <w:rFonts w:ascii="Arial" w:hAnsi="Arial"/>
          <w:color w:val="000000"/>
          <w:sz w:val="68"/>
        </w:rPr>
        <w:t>Reuniões eficazes</w:t>
      </w:r>
    </w:p>
    <w:p>
      <w:pPr>
        <w:pStyle w:val="Subtitle"/>
        <w:spacing w:after="720"/>
      </w:pPr>
      <w:r>
        <w:rPr>
          <w:sz w:val="36"/>
        </w:rPr>
        <w:t>Preparar a conversa e acompanhar as decisões</w:t>
      </w:r>
    </w:p>
    <w:p>
      <w:pPr>
        <w:spacing w:before="120" w:after="360"/>
      </w:pPr>
      <w:r>
        <w:rPr>
          <w:b/>
          <w:sz w:val="24"/>
        </w:rPr>
        <w:t>Autores</w:t>
        <w:br/>
        <w:t>Gonçalo Ribeiro e Gustavo Ribeiro</w:t>
      </w:r>
    </w:p>
    <w:p>
      <w:pPr/>
      <w:r>
        <w:t>Um guia para chefias e equipas, com evidência, agendas de trabalho, modelos de registo e uma proposta de aplicação do modelo P&amp;D.</w:t>
      </w:r>
    </w:p>
    <w:p>
      <w:pPr>
        <w:spacing w:after="560"/>
      </w:pPr>
      <w:r>
        <w:t>O objetivo é ajudar a equipa a decidir quando precisa de reunir, como tornar a participação útil e o que acompanhar depois. A melhoria deve ser avaliada pela clareza das decisões e pela execução dos compromissos, considerando todo o tempo investido.</w:t>
      </w:r>
    </w:p>
    <w:p>
      <w:pPr/>
      <w:r>
        <w:t>Nove fontes de consultoria e três artigos académicos</w:t>
        <w:br/>
        <w:t>Com o modelo prático enviado por Gustavo Ribeiro</w:t>
      </w:r>
    </w:p>
    <w:p>
      <w:pPr/>
      <w:r>
        <w:t>Setembro de 2026 · Versão 7</w:t>
      </w:r>
    </w:p>
    <w:p>
      <w:pPr>
        <w:pStyle w:val="Title"/>
        <w:pageBreakBefore/>
        <w:spacing w:after="320"/>
      </w:pPr>
      <w:r>
        <w:rPr>
          <w:sz w:val="48"/>
        </w:rPr>
        <w:t>Índice</w:t>
      </w:r>
    </w:p>
    <w:p>
      <w:pPr>
        <w:pStyle w:val="TOC1"/>
      </w:pPr>
      <w:r>
        <w:fldChar w:fldCharType="begin"/>
      </w:r>
      <w:r>
        <w:instrText xml:space="preserve"> TOC \o "1-2" \h \z \u </w:instrText>
      </w:r>
      <w:r>
        <w:fldChar w:fldCharType="separate"/>
      </w:r>
      <w:hyperlink w:anchor="wp6_1" w:history="1">
        <w:r>
          <w:t>1 Síntese e âmbito</w:t>
        </w:r>
        <w:r>
          <w:tab/>
        </w:r>
        <w:r>
          <w:t>3</w:t>
        </w:r>
      </w:hyperlink>
    </w:p>
    <w:p>
      <w:pPr>
        <w:pStyle w:val="TOC2"/>
      </w:pPr>
      <w:hyperlink w:anchor="wp6_2" w:history="1">
        <w:r>
          <w:t>1.1 O que a evidência permite concluir</w:t>
        </w:r>
        <w:r>
          <w:tab/>
        </w:r>
        <w:r>
          <w:t>3</w:t>
        </w:r>
      </w:hyperlink>
    </w:p>
    <w:p>
      <w:pPr>
        <w:pStyle w:val="TOC1"/>
      </w:pPr>
      <w:hyperlink w:anchor="wp6_3" w:history="1">
        <w:r>
          <w:t>2 Antes da reunião</w:t>
        </w:r>
        <w:r>
          <w:tab/>
        </w:r>
        <w:r>
          <w:t>4</w:t>
        </w:r>
      </w:hyperlink>
    </w:p>
    <w:p>
      <w:pPr>
        <w:pStyle w:val="TOC2"/>
      </w:pPr>
      <w:hyperlink w:anchor="wp6_4" w:history="1">
        <w:r>
          <w:t>2.1 Escolher a finalidade e o formato</w:t>
        </w:r>
        <w:r>
          <w:tab/>
        </w:r>
        <w:r>
          <w:t>4</w:t>
        </w:r>
      </w:hyperlink>
    </w:p>
    <w:p>
      <w:pPr>
        <w:pStyle w:val="TOC2"/>
      </w:pPr>
      <w:hyperlink w:anchor="wp6_5" w:history="1">
        <w:r>
          <w:t>2.2 Preparar a decisão e os participantes</w:t>
        </w:r>
        <w:r>
          <w:tab/>
        </w:r>
        <w:r>
          <w:t>4</w:t>
        </w:r>
      </w:hyperlink>
    </w:p>
    <w:p>
      <w:pPr>
        <w:pStyle w:val="TOC2"/>
      </w:pPr>
      <w:hyperlink w:anchor="wp6_6" w:history="1">
        <w:r>
          <w:t>2.3 Usar um modelo de preparação</w:t>
        </w:r>
        <w:r>
          <w:tab/>
        </w:r>
        <w:r>
          <w:t>5</w:t>
        </w:r>
      </w:hyperlink>
    </w:p>
    <w:p>
      <w:pPr>
        <w:pStyle w:val="TOC1"/>
      </w:pPr>
      <w:hyperlink w:anchor="wp6_7" w:history="1">
        <w:r>
          <w:t>3 Durante a reunião</w:t>
        </w:r>
        <w:r>
          <w:tab/>
        </w:r>
        <w:r>
          <w:t>6</w:t>
        </w:r>
      </w:hyperlink>
    </w:p>
    <w:p>
      <w:pPr>
        <w:pStyle w:val="TOC2"/>
      </w:pPr>
      <w:hyperlink w:anchor="wp6_8" w:history="1">
        <w:r>
          <w:t>3.1 Conduzir a conversa e incluir os participantes</w:t>
        </w:r>
        <w:r>
          <w:tab/>
        </w:r>
        <w:r>
          <w:t>6</w:t>
        </w:r>
      </w:hyperlink>
    </w:p>
    <w:p>
      <w:pPr>
        <w:pStyle w:val="TOC2"/>
      </w:pPr>
      <w:hyperlink w:anchor="wp6_9" w:history="1">
        <w:r>
          <w:t>3.2 Usar agendas para decidir e coordenar</w:t>
        </w:r>
        <w:r>
          <w:tab/>
        </w:r>
        <w:r>
          <w:t>7</w:t>
        </w:r>
      </w:hyperlink>
    </w:p>
    <w:p>
      <w:pPr>
        <w:pStyle w:val="TOC2"/>
      </w:pPr>
      <w:hyperlink w:anchor="wp6_10" w:history="1">
        <w:r>
          <w:t>3.3 Explorar soluções e gerir conversas difíceis</w:t>
        </w:r>
        <w:r>
          <w:tab/>
        </w:r>
        <w:r>
          <w:t>8</w:t>
        </w:r>
      </w:hyperlink>
    </w:p>
    <w:p>
      <w:pPr>
        <w:pStyle w:val="TOC1"/>
      </w:pPr>
      <w:hyperlink w:anchor="wp6_11" w:history="1">
        <w:r>
          <w:t>4 Depois da reunião</w:t>
        </w:r>
        <w:r>
          <w:tab/>
        </w:r>
        <w:r>
          <w:t>9</w:t>
        </w:r>
      </w:hyperlink>
    </w:p>
    <w:p>
      <w:pPr>
        <w:pStyle w:val="TOC2"/>
      </w:pPr>
      <w:hyperlink w:anchor="wp6_12" w:history="1">
        <w:r>
          <w:t>4.1 Confirmar decisões e acompanhar compromissos</w:t>
        </w:r>
        <w:r>
          <w:tab/>
        </w:r>
        <w:r>
          <w:t>9</w:t>
        </w:r>
      </w:hyperlink>
    </w:p>
    <w:p>
      <w:pPr>
        <w:pStyle w:val="TOC2"/>
      </w:pPr>
      <w:hyperlink w:anchor="wp6_13" w:history="1">
        <w:r>
          <w:t>4.2 Registar a decisão de forma útil</w:t>
        </w:r>
        <w:r>
          <w:tab/>
        </w:r>
        <w:r>
          <w:t>9</w:t>
        </w:r>
      </w:hyperlink>
    </w:p>
    <w:p>
      <w:pPr>
        <w:pStyle w:val="TOC2"/>
      </w:pPr>
      <w:hyperlink w:anchor="wp6_14" w:history="1">
        <w:r>
          <w:t>4.3 Avaliar o tempo e os resultados</w:t>
        </w:r>
        <w:r>
          <w:tab/>
        </w:r>
        <w:r>
          <w:t>10</w:t>
        </w:r>
      </w:hyperlink>
    </w:p>
    <w:p>
      <w:pPr>
        <w:pStyle w:val="TOC1"/>
      </w:pPr>
      <w:hyperlink w:anchor="wp6_15" w:history="1">
        <w:r>
          <w:t>5 A solução P&amp;D</w:t>
        </w:r>
        <w:r>
          <w:tab/>
        </w:r>
        <w:r>
          <w:t>11</w:t>
        </w:r>
      </w:hyperlink>
    </w:p>
    <w:p>
      <w:pPr>
        <w:pStyle w:val="TOC2"/>
      </w:pPr>
      <w:hyperlink w:anchor="wp6_16" w:history="1">
        <w:r>
          <w:t>5.1 Antes da reunião</w:t>
        </w:r>
        <w:r>
          <w:tab/>
        </w:r>
        <w:r>
          <w:t>11</w:t>
        </w:r>
      </w:hyperlink>
    </w:p>
    <w:p>
      <w:pPr>
        <w:pStyle w:val="TOC2"/>
      </w:pPr>
      <w:hyperlink w:anchor="wp6_17" w:history="1">
        <w:r>
          <w:t>5.2 Durante a reunião</w:t>
        </w:r>
        <w:r>
          <w:tab/>
        </w:r>
        <w:r>
          <w:t>11</w:t>
        </w:r>
      </w:hyperlink>
    </w:p>
    <w:p>
      <w:pPr>
        <w:pStyle w:val="TOC2"/>
      </w:pPr>
      <w:hyperlink w:anchor="wp6_18" w:history="1">
        <w:r>
          <w:t>5.3 Depois da reunião</w:t>
        </w:r>
        <w:r>
          <w:tab/>
        </w:r>
        <w:r>
          <w:t>11</w:t>
        </w:r>
      </w:hyperlink>
    </w:p>
    <w:p>
      <w:pPr>
        <w:pStyle w:val="TOC2"/>
      </w:pPr>
      <w:hyperlink w:anchor="wp6_19" w:history="1">
        <w:r>
          <w:t>5.4 Ligação aos modelos e ao piloto</w:t>
        </w:r>
        <w:r>
          <w:tab/>
        </w:r>
        <w:r>
          <w:t>11</w:t>
        </w:r>
      </w:hyperlink>
    </w:p>
    <w:p>
      <w:pPr>
        <w:pStyle w:val="TOC1"/>
      </w:pPr>
      <w:hyperlink w:anchor="wp6_20" w:history="1">
        <w:r>
          <w:t>6 Implementação e continuidade</w:t>
        </w:r>
        <w:r>
          <w:tab/>
        </w:r>
        <w:r>
          <w:t>12</w:t>
        </w:r>
      </w:hyperlink>
    </w:p>
    <w:p>
      <w:pPr>
        <w:pStyle w:val="TOC2"/>
      </w:pPr>
      <w:hyperlink w:anchor="wp6_21" w:history="1">
        <w:r>
          <w:t>6.1 Testar as práticas durante quatro semanas</w:t>
        </w:r>
        <w:r>
          <w:tab/>
        </w:r>
        <w:r>
          <w:t>12</w:t>
        </w:r>
      </w:hyperlink>
    </w:p>
    <w:p>
      <w:pPr>
        <w:pStyle w:val="TOC2"/>
      </w:pPr>
      <w:hyperlink w:anchor="wp6_22" w:history="1">
        <w:r>
          <w:t>6.2 Interpretar os resultados do piloto</w:t>
        </w:r>
        <w:r>
          <w:tab/>
        </w:r>
        <w:r>
          <w:t>12</w:t>
        </w:r>
      </w:hyperlink>
    </w:p>
    <w:p>
      <w:pPr>
        <w:pStyle w:val="TOC2"/>
      </w:pPr>
      <w:hyperlink w:anchor="wp6_23" w:history="1">
        <w:r>
          <w:t>6.3 Distribuir responsabilidades e documentos</w:t>
        </w:r>
        <w:r>
          <w:tab/>
        </w:r>
        <w:r>
          <w:t>12</w:t>
        </w:r>
      </w:hyperlink>
    </w:p>
    <w:p>
      <w:pPr>
        <w:pStyle w:val="TOC2"/>
      </w:pPr>
      <w:hyperlink w:anchor="wp6_24" w:history="1">
        <w:r>
          <w:t>6.4 Acordar os critérios antes do teste</w:t>
        </w:r>
        <w:r>
          <w:tab/>
        </w:r>
        <w:r>
          <w:t>13</w:t>
        </w:r>
      </w:hyperlink>
    </w:p>
    <w:p>
      <w:pPr>
        <w:pStyle w:val="TOC2"/>
      </w:pPr>
      <w:hyperlink w:anchor="wp6_25" w:history="1">
        <w:r>
          <w:t>6.5 Acompanhar aos 30 e aos 60 dias</w:t>
        </w:r>
        <w:r>
          <w:tab/>
        </w:r>
        <w:r>
          <w:t>13</w:t>
        </w:r>
      </w:hyperlink>
    </w:p>
    <w:p>
      <w:pPr>
        <w:pStyle w:val="TOC2"/>
      </w:pPr>
      <w:hyperlink w:anchor="wp6_26" w:history="1">
        <w:r>
          <w:t>6.6 Conclusão</w:t>
        </w:r>
        <w:r>
          <w:tab/>
        </w:r>
        <w:r>
          <w:t>13</w:t>
        </w:r>
      </w:hyperlink>
    </w:p>
    <w:p>
      <w:pPr>
        <w:pStyle w:val="TOC1"/>
      </w:pPr>
      <w:hyperlink w:anchor="wp6_27" w:history="1">
        <w:r>
          <w:t>Anexo de verificação das fontes</w:t>
        </w:r>
        <w:r>
          <w:tab/>
        </w:r>
        <w:r>
          <w:t>14</w:t>
        </w:r>
      </w:hyperlink>
    </w:p>
    <w:p>
      <w:pPr>
        <w:pStyle w:val="TOC2"/>
      </w:pPr>
      <w:hyperlink w:anchor="wp6_28" w:history="1">
        <w:r>
          <w:t>Publicações de consultoria</w:t>
        </w:r>
        <w:r>
          <w:tab/>
        </w:r>
        <w:r>
          <w:t>14</w:t>
        </w:r>
      </w:hyperlink>
    </w:p>
    <w:p>
      <w:pPr>
        <w:pStyle w:val="TOC2"/>
      </w:pPr>
      <w:hyperlink w:anchor="wp6_29" w:history="1">
        <w:r>
          <w:t>Exemplos e propostas de aplicação</w:t>
        </w:r>
        <w:r>
          <w:tab/>
        </w:r>
        <w:r>
          <w:t>15</w:t>
        </w:r>
      </w:hyperlink>
    </w:p>
    <w:p>
      <w:pPr>
        <w:pStyle w:val="TOC2"/>
      </w:pPr>
      <w:hyperlink w:anchor="wp6_30" w:history="1">
        <w:r>
          <w:t>Artigos académicos</w:t>
        </w:r>
        <w:r>
          <w:tab/>
        </w:r>
        <w:r>
          <w:t>16</w:t>
        </w:r>
      </w:hyperlink>
    </w:p>
    <w:p>
      <w:pPr>
        <w:pStyle w:val="TOC1"/>
      </w:pPr>
      <w:hyperlink w:anchor="wp6_31" w:history="1">
        <w:r>
          <w:t>Referências citadas</w:t>
        </w:r>
        <w:r>
          <w:tab/>
        </w:r>
        <w:r>
          <w:t>17</w:t>
        </w:r>
      </w:hyperlink>
      <w:r>
        <w:fldChar w:fldCharType="end"/>
      </w:r>
    </w:p>
    <w:p>
      <w:pPr>
        <w:pStyle w:val="Heading1"/>
        <w:pageBreakBefore/>
        <w:numPr>
          <w:ilvl w:val="0"/>
          <w:numId w:val="80"/>
        </w:numPr>
      </w:pPr>
      <w:bookmarkStart w:id="200" w:name="wp6_1"/>
      <w:r>
        <w:t>Síntese e âmbito</w:t>
      </w:r>
      <w:bookmarkEnd w:id="200"/>
    </w:p>
    <w:p>
      <w:pPr>
        <w:jc w:val="left"/>
      </w:pPr>
      <w:r>
        <w:rPr>
          <w:rFonts w:ascii="Arial" w:hAnsi="Arial"/>
          <w:color w:val="000000"/>
        </w:rPr>
        <w:t>Uma reunião é útil quando permite fazer em conjunto algo que seria mais difícil fazer separadamente: resolver uma dependência entre equipas, tomar uma decisão informada ou construir uma resposta comum. A sua utilidade percebe-se no trabalho que as pessoas conseguem fazer depois.</w:t>
      </w:r>
    </w:p>
    <w:p>
      <w:pPr>
        <w:jc w:val="left"/>
      </w:pPr>
      <w:r>
        <w:rPr>
          <w:rFonts w:ascii="Arial" w:hAnsi="Arial"/>
          <w:color w:val="000000"/>
        </w:rPr>
        <w:t>Imagine uma reunião semanal em que o mesmo assunto regressa pela terceira vez. Há informação, opiniões e preocupação, mas ninguém sabe quem pode decidir. Encurtar o encontro pode aliviar a agenda; a questão, porém, continuará por resolver. Neste exemplo, a melhoria começa por identificar a decisão, quem a toma e os contributos de que essa pessoa precisa.</w:t>
      </w:r>
    </w:p>
    <w:p>
      <w:pPr>
        <w:jc w:val="left"/>
      </w:pPr>
      <w:r>
        <w:rPr>
          <w:rFonts w:ascii="Arial" w:hAnsi="Arial"/>
          <w:color w:val="000000"/>
        </w:rPr>
        <w:t>Este white paper apresenta um método para preparar, conduzir e acompanhar reuniões, apoiado em nove fontes de consultoria e três artigos académicos. A proposta começa pelo resultado esperado e estende-se à execução dos compromissos. Ao longo desse percurso, importa cuidar tanto da agenda como da forma como as pessoas conversam e contribuem.</w:t>
      </w:r>
    </w:p>
    <w:p>
      <w:pPr>
        <w:pStyle w:val="Heading2"/>
        <w:numPr>
          <w:ilvl w:val="1"/>
          <w:numId w:val="80"/>
        </w:numPr>
      </w:pPr>
      <w:bookmarkStart w:id="201" w:name="wp6_2"/>
      <w:r>
        <w:t>O que a evidência permite concluir</w:t>
      </w:r>
      <w:bookmarkEnd w:id="201"/>
    </w:p>
    <w:p>
      <w:pPr>
        <w:jc w:val="left"/>
      </w:pPr>
      <w:r>
        <w:rPr>
          <w:rFonts w:ascii="Arial" w:hAnsi="Arial"/>
          <w:color w:val="000000"/>
        </w:rPr>
        <w:t>As nove fontes de consultoria pertencem a cinco organizações e oferecem modelos e exemplos, com alguma sobreposição. Aminov et al. (2019) apresentam resultados de um inquérito sobre decisões. De Smet et al. (2019) retomam indicadores dessa investigação ao discutir a organização das reuniões. Por isso, estas duas publicações não representam confirmações empíricas independentes.</w:t>
      </w:r>
    </w:p>
    <w:p>
      <w:pPr>
        <w:jc w:val="left"/>
      </w:pPr>
      <w:r>
        <w:rPr>
          <w:rFonts w:ascii="Arial" w:hAnsi="Arial"/>
          <w:color w:val="000000"/>
        </w:rPr>
        <w:t>Kauffeld e Lehmann-Willenbrock (2012) analisaram 92 reuniões gravadas. O apêndice distingue 59 reuniões na análise da satisfação, 30 equipas na análise da produtividade e 19 organizações na avaliação do desenvolvimento organizacional, feita 2,5 anos depois. As associações observadas justificam atenção à interação, mas não provam que uma técnica isolada produza ganhos organizacionais.</w:t>
      </w:r>
    </w:p>
    <w:p>
      <w:pPr>
        <w:jc w:val="left"/>
      </w:pPr>
      <w:r>
        <w:rPr>
          <w:rFonts w:ascii="Arial" w:hAnsi="Arial"/>
          <w:color w:val="000000"/>
        </w:rPr>
        <w:t>Num inquérito com 367 participantes, o acesso à agenda antes da reunião associou-se a avaliações mais favoráveis. Disponibilizá-la apenas durante o encontro não diferiu significativamente de não ter agenda. A duração também não apresentou uma relação significativa com a qualidade percebida. O estudo mediu perceções e não permite estabelecer relações de causa e efeito (Cohen et al., 2011).</w:t>
      </w:r>
    </w:p>
    <w:p>
      <w:pPr>
        <w:jc w:val="left"/>
      </w:pPr>
      <w:r>
        <w:rPr>
          <w:rFonts w:ascii="Arial" w:hAnsi="Arial"/>
          <w:color w:val="000000"/>
        </w:rPr>
        <w:t>Numa experiência de campo de quatro semanas, com 103 trabalhadores e 1 408 observações diárias, os investigadores alteraram a condição de uso da câmara. Os resultados apoiaram o modelo que relaciona a câmara ligada com maior fadiga e esta com menor partilha de contributos e envolvimento nas reuniões (Shockley et al., 2021). A implicação prática é adequar o vídeo à tarefa, considerando também o esforço exigido aos participantes.</w:t>
      </w:r>
    </w:p>
    <w:p>
      <w:pPr>
        <w:jc w:val="left"/>
      </w:pPr>
      <w:r>
        <w:rPr>
          <w:rFonts w:ascii="Arial" w:hAnsi="Arial"/>
          <w:color w:val="000000"/>
        </w:rPr>
        <w:t>A seleção não constitui uma revisão sistemática. As agendas e o piloto são propostas de aplicação elaboradas para este documento. O anexo documenta a verificação de cada fonte: foi possível consultar um artigo académico na íntegra e, nos outros dois, as partes públicas aí identificadas.</w:t>
      </w:r>
    </w:p>
    <w:p>
      <w:pPr>
        <w:pStyle w:val="Heading1"/>
        <w:pageBreakBefore/>
        <w:numPr>
          <w:ilvl w:val="0"/>
          <w:numId w:val="80"/>
        </w:numPr>
      </w:pPr>
      <w:bookmarkStart w:id="202" w:name="wp6_3"/>
      <w:r>
        <w:t>Antes da reunião</w:t>
      </w:r>
      <w:bookmarkEnd w:id="202"/>
    </w:p>
    <w:p>
      <w:pPr>
        <w:pStyle w:val="Heading2"/>
        <w:numPr>
          <w:ilvl w:val="1"/>
          <w:numId w:val="80"/>
        </w:numPr>
      </w:pPr>
      <w:bookmarkStart w:id="203" w:name="wp6_4"/>
      <w:r>
        <w:t>Escolher a finalidade e o formato</w:t>
      </w:r>
      <w:bookmarkEnd w:id="203"/>
    </w:p>
    <w:p>
      <w:pPr>
        <w:jc w:val="left"/>
      </w:pPr>
      <w:r>
        <w:rPr>
          <w:rFonts w:ascii="Arial" w:hAnsi="Arial"/>
          <w:color w:val="000000"/>
        </w:rPr>
        <w:t>Antes de melhorar uma reunião recorrente, importa confirmar se ela continua a ser necessária. De Smet et al. (2019) propõem começar por essa pergunta. A distinção entre informar, discutir e decidir ajuda depois a escolher a finalidade de cada momento (Mankins &amp; Davis-Peccoud, 2011). Os cinco passos seguintes adaptam estas recomendações. Foram elaborados para este documento e não constituem um instrumento de avaliação validado.</w:t>
      </w:r>
    </w:p>
    <w:p>
      <w:pPr>
        <w:jc w:val="left"/>
      </w:pPr>
      <w:r>
        <w:rPr>
          <w:b/>
        </w:rPr>
        <w:t>1.</w:t>
      </w:r>
      <w:r>
        <w:t xml:space="preserve"> Defina o resultado esperado. Se pretende apenas transmitir informação estável, prepare uma atualização escrita. Indique quem a deve ler, até quando e como pode colocar dúvidas. Confirme que os destinatários conseguem aceder à informação e responder.</w:t>
      </w:r>
    </w:p>
    <w:p>
      <w:pPr>
        <w:jc w:val="left"/>
      </w:pPr>
      <w:r>
        <w:rPr>
          <w:b/>
        </w:rPr>
        <w:t>2.</w:t>
      </w:r>
      <w:r>
        <w:t xml:space="preserve"> Identifique o que depende de outras pessoas. Se alguém puder executar o trabalho sozinho, com critérios claros e autoridade para agir, pode bastar atribuir-lhe a tarefa. Quando o avanço depende de escolhas entre áreas, prepare uma conversa sobre essa dependência.</w:t>
      </w:r>
    </w:p>
    <w:p>
      <w:pPr>
        <w:jc w:val="left"/>
      </w:pPr>
      <w:r>
        <w:rPr>
          <w:b/>
        </w:rPr>
        <w:t>3.</w:t>
      </w:r>
      <w:r>
        <w:t xml:space="preserve"> Confirme as condições para decidir. Se faltarem dados indispensáveis, um responsável ou autoridade para escolher, defina quem assegura essa preparação. A reunião pode servir para esclarecer o problema, desde que esse objetivo seja explícito.</w:t>
      </w:r>
    </w:p>
    <w:p>
      <w:pPr>
        <w:jc w:val="left"/>
      </w:pPr>
      <w:r>
        <w:rPr>
          <w:b/>
        </w:rPr>
        <w:t>4.</w:t>
      </w:r>
      <w:r>
        <w:t xml:space="preserve"> Escolha o formato. Comparar alternativas, coordenar respostas a desvios e gerar ideias exigem ritmos diferentes. Se estes objetivos fizerem parte da mesma sessão, separe os momentos e assinale a passagem da exploração para a avaliação.</w:t>
      </w:r>
    </w:p>
    <w:p>
      <w:pPr>
        <w:jc w:val="left"/>
      </w:pPr>
      <w:r>
        <w:rPr>
          <w:b/>
        </w:rPr>
        <w:t>5.</w:t>
      </w:r>
      <w:r>
        <w:t xml:space="preserve"> Marque uma revisão do formato. Uma reunião criada para uma fase do projeto pode deixar de ser necessária quando essa fase termina. A chefia deve conseguir explicar que trabalho ficaria prejudicado se o encontro fosse retirado.</w:t>
      </w:r>
    </w:p>
    <w:p>
      <w:pPr>
        <w:pStyle w:val="Heading3"/>
        <w:jc w:val="left"/>
      </w:pPr>
      <w:r>
        <w:rPr>
          <w:rFonts w:ascii="Arial" w:hAnsi="Arial"/>
          <w:color w:val="000000"/>
        </w:rPr>
        <w:t>Um exemplo de aplicação</w:t>
      </w:r>
    </w:p>
    <w:p>
      <w:pPr>
        <w:jc w:val="left"/>
      </w:pPr>
      <w:r>
        <w:rPr>
          <w:rFonts w:ascii="Arial" w:hAnsi="Arial"/>
          <w:color w:val="000000"/>
        </w:rPr>
        <w:t>Numa reunião semanal, uma equipa recebe dez atualizações e deixa para o fim dois pedidos que dependem de outra área. Uma possibilidade é enviar as atualizações antes, reservar o encontro para resolver essas duas dependências e convidar os interlocutores necessários.</w:t>
      </w:r>
    </w:p>
    <w:p>
      <w:pPr>
        <w:jc w:val="left"/>
      </w:pPr>
      <w:r>
        <w:rPr>
          <w:rFonts w:ascii="Arial" w:hAnsi="Arial"/>
          <w:color w:val="000000"/>
        </w:rPr>
        <w:t>A experiência só será útil se os destinatários lerem a informação e as decisões avançarem. Se isso não acontecer, o trabalho pode apenas passar para mensagens e encontros adicionais. Este é um exemplo ilustrativo, que precisa de ser adaptado ao acesso à informação, aos fusos horários, ao trabalho por turnos e ao tempo disponível para a preparação. O trabalho feito fora da reunião também conta na avaliação.</w:t>
      </w:r>
    </w:p>
    <w:p>
      <w:pPr>
        <w:pStyle w:val="Heading2"/>
        <w:numPr>
          <w:ilvl w:val="1"/>
          <w:numId w:val="80"/>
        </w:numPr>
      </w:pPr>
      <w:bookmarkStart w:id="204" w:name="wp6_5"/>
      <w:r>
        <w:t>Preparar a decisão e os participantes</w:t>
      </w:r>
      <w:bookmarkEnd w:id="204"/>
    </w:p>
    <w:p>
      <w:pPr>
        <w:jc w:val="left"/>
      </w:pPr>
      <w:r>
        <w:rPr>
          <w:rFonts w:ascii="Arial" w:hAnsi="Arial"/>
          <w:color w:val="000000"/>
        </w:rPr>
        <w:t>Comece por escrever o que deve ficar definido no fim da reunião. «Rever o projeto» deixa espaço para interpretações diferentes. «Decidir qual das duas opções avança, tendo em conta o custo e a capacidade de execução» ajuda a preparar a conversa e a escolher os participantes. O exemplo aplica a recomendação de explicitar a finalidade do encontro (De Smet et al., 2019).</w:t>
      </w:r>
    </w:p>
    <w:p>
      <w:pPr>
        <w:jc w:val="left"/>
      </w:pPr>
      <w:r>
        <w:rPr>
          <w:rFonts w:ascii="Arial" w:hAnsi="Arial"/>
          <w:color w:val="000000"/>
        </w:rPr>
        <w:t>Mankins e Davis-Peccoud (2011) distinguem informar, discutir e decidir. Uma atualização pode ser enviada antes. Uma questão com perspetivas divergentes pode justificar debate. Já uma decisão exige informação para comparar as opções e alguém com autoridade para escolher. Uma aplicação desta distinção consiste em indicar a finalidade e o resultado esperado de cada assunto da agenda.</w:t>
      </w:r>
    </w:p>
    <w:p>
      <w:pPr>
        <w:jc w:val="left"/>
      </w:pPr>
      <w:r>
        <w:rPr>
          <w:rFonts w:ascii="Arial" w:hAnsi="Arial"/>
          <w:color w:val="000000"/>
        </w:rPr>
        <w:t>No convite, apresente a pergunta a resolver, quem decide, os contributos esperados e a preparação necessária. Um documento curto com opções, critérios e pontos em aberto permite dedicar a conversa às diferenças que precisam de ser trabalhadas. Envie-o com tempo suficiente para as pessoas se prepararem. A associação entre acesso prévio à agenda e qualidade percebida apoia esta escolha, sem fixar um prazo universal de envio (Cohen et al., 2011). Se faltar informação indispensável, defina quem a obtém e quando se retoma a decisão.</w:t>
      </w:r>
    </w:p>
    <w:p>
      <w:pPr>
        <w:jc w:val="left"/>
      </w:pPr>
      <w:r>
        <w:rPr>
          <w:rFonts w:ascii="Arial" w:hAnsi="Arial"/>
          <w:color w:val="000000"/>
        </w:rPr>
        <w:t>Escolha os participantes pelo contributo de que precisa: quem decide, quem conhece as consequências, quem executa e quem traz uma perspetiva em falta. Esta orientação adapta os papéis descritos por De Smet et al. (2019). Não implica um limite universal de participantes nem exige que todos estejam presentes em todos os assuntos.</w:t>
      </w:r>
    </w:p>
    <w:p>
      <w:pPr>
        <w:pStyle w:val="Heading3"/>
        <w:jc w:val="left"/>
      </w:pPr>
      <w:r>
        <w:rPr>
          <w:rFonts w:ascii="Arial" w:hAnsi="Arial"/>
          <w:color w:val="000000"/>
        </w:rPr>
        <w:t>Dar a cada tipo de trabalho o seu espaço</w:t>
      </w:r>
    </w:p>
    <w:p>
      <w:pPr>
        <w:jc w:val="left"/>
      </w:pPr>
      <w:r>
        <w:rPr>
          <w:rFonts w:ascii="Arial" w:hAnsi="Arial"/>
          <w:color w:val="000000"/>
        </w:rPr>
        <w:t>Spits e Blenko (2021) distinguem o funcionamento corrente da empresa do trabalho de mudança. Para o primeiro, recomendam atenção aos desvios e bloqueios relevantes. Para o segundo, defendem espaço para explorar alternativas e aprender com a experiência. Estes momentos podem ser separados dentro da mesma reunião ou organizados em encontros distintos.</w:t>
      </w:r>
    </w:p>
    <w:p>
      <w:pPr>
        <w:jc w:val="left"/>
      </w:pPr>
      <w:r>
        <w:rPr>
          <w:rFonts w:ascii="Arial" w:hAnsi="Arial"/>
          <w:color w:val="000000"/>
        </w:rPr>
        <w:t>O tipo de decisão também conta. Aminov et al. (2019) associam a coordenação entre áreas à qualidade das decisões transversais e salientam a autonomia e o acompanhamento nas decisões delegadas. Como os resultados vêm de um inquérito, não demonstram causalidade. Estas diferenças sugerem ajustar a frequência das reuniões e os participantes às dependências que precisam de ser resolvidas.</w:t>
      </w:r>
    </w:p>
    <w:p>
      <w:pPr>
        <w:jc w:val="left"/>
      </w:pPr>
      <w:r>
        <w:rPr>
          <w:rFonts w:ascii="Arial" w:hAnsi="Arial"/>
          <w:color w:val="000000"/>
        </w:rPr>
        <w:t>Bevins e De Smet (2013) tratam o tempo das lideranças como um recurso limitado, condicionado pelas estruturas e prioridades da empresa. Esta perspetiva convida a rever reuniões e circuitos de decisão redundantes antes de atribuir toda a dificuldade à gestão individual do tempo.</w:t>
      </w:r>
    </w:p>
    <w:p>
      <w:pPr>
        <w:jc w:val="left"/>
      </w:pPr>
      <w:r>
        <w:rPr>
          <w:rFonts w:ascii="Arial" w:hAnsi="Arial"/>
          <w:color w:val="000000"/>
        </w:rPr>
        <w:t>Para começar, escolha duas reuniões recorrentes. Identifique o trabalho que depende de cada uma, as decisões que produz e o que pode ser preparado antes. Use essas respostas para orientar a experiência de melhoria e definir uma duração adequada a cada encontro.</w:t>
      </w:r>
    </w:p>
    <w:p>
      <w:pPr>
        <w:pStyle w:val="Heading2"/>
        <w:numPr>
          <w:ilvl w:val="1"/>
          <w:numId w:val="80"/>
        </w:numPr>
      </w:pPr>
      <w:bookmarkStart w:id="205" w:name="wp6_6"/>
      <w:r>
        <w:t>Usar um modelo de preparação</w:t>
      </w:r>
      <w:bookmarkEnd w:id="205"/>
    </w:p>
    <w:p>
      <w:pPr>
        <w:jc w:val="left"/>
      </w:pPr>
      <w:r>
        <w:rPr>
          <w:rFonts w:ascii="Arial" w:hAnsi="Arial"/>
          <w:color w:val="000000"/>
        </w:rPr>
        <w:t>O modelo seguinte pode ser usado no suporte que a equipa já utiliza. Foi elaborado para este documento e não reproduz os instrumentos académicos. A sua utilidade depende da informação registada e do uso que lhe é dado depois.</w:t>
      </w:r>
    </w:p>
    <w:p>
      <w:pPr>
        <w:jc w:val="left"/>
      </w:pPr>
      <w:r>
        <w:rPr>
          <w:b/>
        </w:rPr>
        <w:t>Pergunta a resolver:</w:t>
      </w:r>
      <w:r>
        <w:t xml:space="preserve"> que escolha precisa de ser feita, até quando e porquê?</w:t>
      </w:r>
    </w:p>
    <w:p>
      <w:pPr>
        <w:jc w:val="left"/>
      </w:pPr>
      <w:r>
        <w:rPr>
          <w:b/>
        </w:rPr>
        <w:t>Resultado esperado:</w:t>
      </w:r>
      <w:r>
        <w:t xml:space="preserve"> o que deve ficar possível depois da reunião? Quem será afetado pela decisão?</w:t>
      </w:r>
    </w:p>
    <w:p>
      <w:pPr>
        <w:jc w:val="left"/>
      </w:pPr>
      <w:r>
        <w:rPr>
          <w:b/>
        </w:rPr>
        <w:t>Opções e critérios:</w:t>
      </w:r>
      <w:r>
        <w:t xml:space="preserve"> que alternativas existem, incluindo manter a situação atual? Como serão comparadas? Que vantagens e limitações precisam de ficar claras? Melhorar um critério exige aceitar um resultado menos favorável noutro?</w:t>
      </w:r>
    </w:p>
    <w:p>
      <w:pPr>
        <w:jc w:val="left"/>
      </w:pPr>
      <w:r>
        <w:rPr>
          <w:b/>
        </w:rPr>
        <w:t>Informação e incerteza:</w:t>
      </w:r>
      <w:r>
        <w:t xml:space="preserve"> que factos estão confirmados? Que pressupostos podem alterar a escolha? Quem verifica a informação em falta?</w:t>
      </w:r>
    </w:p>
    <w:p>
      <w:pPr>
        <w:jc w:val="left"/>
      </w:pPr>
      <w:r>
        <w:rPr>
          <w:b/>
        </w:rPr>
        <w:t>Papéis e preparação:</w:t>
      </w:r>
      <w:r>
        <w:t xml:space="preserve"> quem decide, quem contribui e quem executa? Que material deve ser lido e até quando? Como pode contribuir quem não vai estar presente?</w:t>
      </w:r>
    </w:p>
    <w:p>
      <w:pPr>
        <w:jc w:val="left"/>
      </w:pPr>
      <w:r>
        <w:rPr>
          <w:b/>
        </w:rPr>
        <w:t>Revisão da decisão:</w:t>
      </w:r>
      <w:r>
        <w:t xml:space="preserve"> que sinal justificará reabri-la? Quem acompanha esse sinal?</w:t>
      </w:r>
    </w:p>
    <w:p>
      <w:pPr>
        <w:pStyle w:val="Heading1"/>
        <w:pageBreakBefore/>
        <w:numPr>
          <w:ilvl w:val="0"/>
          <w:numId w:val="80"/>
        </w:numPr>
      </w:pPr>
      <w:bookmarkStart w:id="206" w:name="wp6_7"/>
      <w:r>
        <w:t>Durante a reunião</w:t>
      </w:r>
      <w:bookmarkEnd w:id="206"/>
    </w:p>
    <w:p>
      <w:pPr>
        <w:pStyle w:val="Heading2"/>
        <w:numPr>
          <w:ilvl w:val="1"/>
          <w:numId w:val="80"/>
        </w:numPr>
      </w:pPr>
      <w:bookmarkStart w:id="207" w:name="wp6_8"/>
      <w:r>
        <w:t>Conduzir a conversa e incluir os participantes</w:t>
      </w:r>
      <w:bookmarkEnd w:id="207"/>
    </w:p>
    <w:p>
      <w:pPr>
        <w:jc w:val="left"/>
      </w:pPr>
      <w:r>
        <w:rPr>
          <w:rFonts w:ascii="Arial" w:hAnsi="Arial"/>
          <w:color w:val="000000"/>
        </w:rPr>
        <w:t>Uma agenda clara não garante que todas as perspetivas relevantes sejam ouvidas. Quem conduz a reunião, ou facilitador, deve esclarecer a pergunta, acompanhar o tempo e perceber se a conversa está a produzir informação útil. Se o debate se dispersar, pode resumir as opções e pedir contributos sobre o ponto que falta resolver.</w:t>
      </w:r>
    </w:p>
    <w:p>
      <w:pPr>
        <w:jc w:val="left"/>
      </w:pPr>
      <w:r>
        <w:rPr>
          <w:rFonts w:ascii="Arial" w:hAnsi="Arial"/>
          <w:color w:val="000000"/>
        </w:rPr>
        <w:t>Kauffeld e Lehmann-Willenbrock (2012) estudaram comportamentos observados durante reuniões. No apêndice, o planeamento de ações apresenta associações positivas com a satisfação e a produtividade da equipa. As queixas e a crítica pessoal relacionam-se negativamente com alguns resultados, mas não com todos. Estes resultados orientam a atenção para a formulação de problemas, a discussão de alternativas e a confirmação de acordos, mantendo espaço para discordar sobre o trabalho.</w:t>
      </w:r>
    </w:p>
    <w:p>
      <w:pPr>
        <w:jc w:val="left"/>
      </w:pPr>
      <w:r>
        <w:rPr>
          <w:rFonts w:ascii="Arial" w:hAnsi="Arial"/>
          <w:color w:val="000000"/>
        </w:rPr>
        <w:t>Nas sessões de geração de ideias, de Brabandere e Iny (2013) recomendam delimitar a pergunta e questionar pressupostos. Os autores alertam para a dificuldade de criar possibilidades enquanto outras pessoas as criticam. Uma forma de aplicar esta orientação é reservar um momento para explorar ideias e outro para as avaliar e escolher quais desenvolver.</w:t>
      </w:r>
    </w:p>
    <w:p>
      <w:pPr>
        <w:jc w:val="left"/>
      </w:pPr>
      <w:r>
        <w:rPr>
          <w:rFonts w:ascii="Arial" w:hAnsi="Arial"/>
          <w:color w:val="000000"/>
        </w:rPr>
        <w:t>Por exemplo, «Como melhoramos o serviço?» pode levar a uma conversa demasiado ampla. «Como tornamos mais clara a passagem de um pedido entre estas duas equipas?» identifica uma situação sobre a qual os participantes podem agir. O exemplo ilustra a aplicação do princípio; não descreve um caso empresarial observado.</w:t>
      </w:r>
    </w:p>
    <w:p>
      <w:pPr>
        <w:pStyle w:val="Heading3"/>
        <w:jc w:val="left"/>
      </w:pPr>
      <w:r>
        <w:rPr>
          <w:rFonts w:ascii="Arial" w:hAnsi="Arial"/>
          <w:color w:val="000000"/>
        </w:rPr>
        <w:t>Incluir quem participa à distância</w:t>
      </w:r>
    </w:p>
    <w:p>
      <w:pPr>
        <w:jc w:val="left"/>
      </w:pPr>
      <w:r>
        <w:rPr>
          <w:rFonts w:ascii="Arial" w:hAnsi="Arial"/>
          <w:color w:val="000000"/>
        </w:rPr>
        <w:t>Vickberg (2022) recomenda que as reuniões híbridas assegurem informação prévia, condições para ouvir e ver os interlocutores e oportunidades explícitas de participação à distância. Inclui também a possibilidade de contribuir fora do horário da reunião, por escrito. Estas recomendações apoiam-se em investigação Business Chemistry e não permitem presumir a personalidade ou as preferências de cada pessoa.</w:t>
      </w:r>
    </w:p>
    <w:p>
      <w:pPr>
        <w:jc w:val="left"/>
      </w:pPr>
      <w:r>
        <w:rPr>
          <w:rFonts w:ascii="Arial" w:hAnsi="Arial"/>
          <w:color w:val="000000"/>
        </w:rPr>
        <w:t>A Korn Ferry (2022) sugere usar o chat, pequenos grupos e momentos de contacto entre colegas. Cada recurso pode ser escolhido em função da tarefa: um pequeno grupo para aprofundar uma questão ou um contributo escrito para preparar a resposta.</w:t>
      </w:r>
    </w:p>
    <w:p>
      <w:pPr>
        <w:jc w:val="left"/>
      </w:pPr>
      <w:r>
        <w:rPr>
          <w:rFonts w:ascii="Arial" w:hAnsi="Arial"/>
          <w:color w:val="000000"/>
        </w:rPr>
        <w:t>As fontes divergem quanto ao vídeo. A Korn Ferry (2022) recomenda que todos o liguem. A experiência de Shockley et al. (2021) apoia uma relação entre câmara ligada e fadiga, ligada por sua vez à participação e ao envolvimento. Perante esta diferença, uma orientação prudente é acordar quando a imagem é útil e permitir outras formas de contribuir. Na prática, deve observar-se se as pessoas participam e compreendem a conversa. Estar visível no ecrã, por si só, não corresponde à medida de participação usada no estudo.</w:t>
      </w:r>
    </w:p>
    <w:p>
      <w:pPr>
        <w:jc w:val="left"/>
      </w:pPr>
      <w:r>
        <w:rPr>
          <w:rFonts w:ascii="Arial" w:hAnsi="Arial"/>
          <w:color w:val="000000"/>
        </w:rPr>
        <w:t>A inclusão pode ser avaliada com perguntas concretas: todos conseguem aceder à informação, levantar uma objeção relevante e perceber o que lhes cabe fazer? Quem conduz a reunião pode verificar estas condições e ajustar o formato com a equipa.</w:t>
      </w:r>
    </w:p>
    <w:p>
      <w:pPr>
        <w:pStyle w:val="Heading2"/>
        <w:pageBreakBefore/>
        <w:numPr>
          <w:ilvl w:val="1"/>
          <w:numId w:val="80"/>
        </w:numPr>
      </w:pPr>
      <w:bookmarkStart w:id="208" w:name="wp6_9"/>
      <w:r>
        <w:t>Usar agendas para decidir e coordenar</w:t>
      </w:r>
      <w:bookmarkEnd w:id="208"/>
    </w:p>
    <w:p>
      <w:pPr>
        <w:jc w:val="left"/>
      </w:pPr>
      <w:r>
        <w:rPr>
          <w:rFonts w:ascii="Arial" w:hAnsi="Arial"/>
          <w:color w:val="000000"/>
        </w:rPr>
        <w:t>Estas durações são pontos de partida a ajustar à complexidade, às perspetivas presentes e às consequências da decisão. Nenhuma das doze fontes estabelece estes tempos como uma receita universal.</w:t>
      </w:r>
    </w:p>
    <w:p>
      <w:pPr>
        <w:pStyle w:val="Heading3"/>
        <w:jc w:val="left"/>
      </w:pPr>
      <w:r>
        <w:rPr>
          <w:rFonts w:ascii="Arial" w:hAnsi="Arial"/>
          <w:color w:val="000000"/>
        </w:rPr>
        <w:t>Decidir entre alternativas em 30 minutos</w:t>
      </w:r>
    </w:p>
    <w:p>
      <w:pPr>
        <w:keepNext/>
        <w:jc w:val="left"/>
      </w:pPr>
      <w:r>
        <w:rPr>
          <w:rFonts w:ascii="Arial" w:hAnsi="Arial"/>
          <w:color w:val="000000"/>
        </w:rPr>
        <w:t>Antes do encontro, envie a pergunta, duas ou mais opções, os critérios e uma recomendação fundamentada. Identifique quem decide e quem executa, seguindo os acordos da organização. O modelo RAPID é apresentado por Mankins e Davis-Peccoud (2011). O modelo DARE é descrito por De Smet et al. (2019). Basta escolher uma forma clara de distribuir os papéis; não é necessário introduzir ambos.</w:t>
      </w:r>
    </w:p>
    <w:tbl>
      <w:tblPr>
        <w:tblW w:type="auto" w:w="0"/>
        <w:jc w:val="center"/>
        <w:tblLayout w:type="fixed"/>
        <w:tblLook w:firstColumn="1" w:firstRow="1" w:lastColumn="0" w:lastRow="0" w:noHBand="0" w:noVBand="1" w:val="04A0"/>
        <w:tblBorders>
          <w:top w:val="single" w:sz="4" w:color="C5C9CC"/>
          <w:left w:val="single" w:sz="4" w:color="C5C9CC"/>
          <w:bottom w:val="single" w:sz="4" w:color="C5C9CC"/>
          <w:right w:val="single" w:sz="4" w:color="C5C9CC"/>
          <w:insideH w:val="single" w:sz="4" w:color="C5C9CC"/>
          <w:insideV w:val="single" w:sz="4" w:color="C5C9CC"/>
          <w:top w:val="single" w:sz="4" w:color="D9D9D9"/>
          <w:left w:val="single" w:sz="4" w:color="D9D9D9"/>
          <w:bottom w:val="single" w:sz="4" w:color="D9D9D9"/>
          <w:right w:val="single" w:sz="4" w:color="D9D9D9"/>
          <w:insideH w:val="single" w:sz="4" w:color="D9D9D9"/>
          <w:insideV w:val="single" w:sz="4" w:color="D9D9D9"/>
        </w:tblBorders>
      </w:tblPr>
      <w:tblGrid>
        <w:gridCol w:w="1224"/>
        <w:gridCol w:w="8300"/>
      </w:tblGrid>
      <w:tr>
        <w:trPr>
          <w:cantSplit/>
          <w:tblHeader/>
          <w:tblHeader/>
          <w:cantSplit/>
        </w:trPr>
        <w:tc>
          <w:tcPr>
            <w:tcW w:type="dxa" w:w="1224"/>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Minutos</w:t>
            </w:r>
          </w:p>
        </w:tc>
        <w:tc>
          <w:tcPr>
            <w:tcW w:type="dxa" w:w="8300"/>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O que fazer</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0–3</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Confirmar a decisão a tomar e quem tem autoridade para a tomar.</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3–10</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Esclarecer os factos e identificar informação em falta.</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10–20</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Comparar opções e ouvir a objeção mais relevante.</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20–26</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Tomar a decisão ou explicar o impedimento.</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26–30</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Registar o fundamento, o responsável e o prazo.</w:t>
            </w:r>
          </w:p>
        </w:tc>
      </w:tr>
    </w:tbl>
    <w:p>
      <w:pPr>
        <w:spacing w:before="160"/>
        <w:jc w:val="left"/>
      </w:pPr>
      <w:r>
        <w:rPr>
          <w:rFonts w:ascii="Arial" w:hAnsi="Arial"/>
          <w:color w:val="000000"/>
        </w:rPr>
        <w:t>O resultado mínimo é uma decisão compreendida ou um caminho concreto para a obter. Se houver um impedimento, deve ficar definido quem o resolve e quando o assunto regressa. Uma ata extensa não substitui esse resultado.</w:t>
      </w:r>
    </w:p>
    <w:p>
      <w:pPr>
        <w:pStyle w:val="Heading3"/>
        <w:jc w:val="left"/>
      </w:pPr>
      <w:r>
        <w:rPr>
          <w:rFonts w:ascii="Arial" w:hAnsi="Arial"/>
          <w:color w:val="000000"/>
        </w:rPr>
        <w:t>Coordenar exceções em 15 minutos</w:t>
      </w:r>
    </w:p>
    <w:p>
      <w:pPr>
        <w:keepNext/>
        <w:jc w:val="left"/>
      </w:pPr>
      <w:r>
        <w:rPr>
          <w:rFonts w:ascii="Arial" w:hAnsi="Arial"/>
          <w:color w:val="000000"/>
        </w:rPr>
        <w:t>Antes, atualize o estado do trabalho no suporte acordado e selecione os bloqueios ou desvios que exigem ajuda coletiva. Esta preparação adapta o foco nas exceções operacionais proposto por Spits e Blenko (2021).</w:t>
      </w:r>
    </w:p>
    <w:tbl>
      <w:tblPr>
        <w:tblW w:type="auto" w:w="0"/>
        <w:jc w:val="center"/>
        <w:tblLayout w:type="fixed"/>
        <w:tblLook w:firstColumn="1" w:firstRow="1" w:lastColumn="0" w:lastRow="0" w:noHBand="0" w:noVBand="1" w:val="04A0"/>
        <w:tblBorders>
          <w:top w:val="single" w:sz="4" w:color="C5C9CC"/>
          <w:left w:val="single" w:sz="4" w:color="C5C9CC"/>
          <w:bottom w:val="single" w:sz="4" w:color="C5C9CC"/>
          <w:right w:val="single" w:sz="4" w:color="C5C9CC"/>
          <w:insideH w:val="single" w:sz="4" w:color="C5C9CC"/>
          <w:insideV w:val="single" w:sz="4" w:color="C5C9CC"/>
          <w:top w:val="single" w:sz="4" w:color="D9D9D9"/>
          <w:left w:val="single" w:sz="4" w:color="D9D9D9"/>
          <w:bottom w:val="single" w:sz="4" w:color="D9D9D9"/>
          <w:right w:val="single" w:sz="4" w:color="D9D9D9"/>
          <w:insideH w:val="single" w:sz="4" w:color="D9D9D9"/>
          <w:insideV w:val="single" w:sz="4" w:color="D9D9D9"/>
        </w:tblBorders>
      </w:tblPr>
      <w:tblGrid>
        <w:gridCol w:w="1224"/>
        <w:gridCol w:w="8300"/>
      </w:tblGrid>
      <w:tr>
        <w:trPr>
          <w:cantSplit/>
          <w:tblHeader/>
          <w:tblHeader/>
          <w:cantSplit/>
        </w:trPr>
        <w:tc>
          <w:tcPr>
            <w:tcW w:type="dxa" w:w="1224"/>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Minutos</w:t>
            </w:r>
          </w:p>
        </w:tc>
        <w:tc>
          <w:tcPr>
            <w:tcW w:type="dxa" w:w="8300"/>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O que fazer</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0–2</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Escolher as exceções que precisam de resposta hoje.</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2–10</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Esclarecer dependências e distribuir ações.</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10–13</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Resolver prioridades que disputam os mesmos recursos.</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val="0"/>
              <w:spacing w:before="40" w:after="40" w:line="252" w:lineRule="auto"/>
            </w:pPr>
            <w:r>
              <w:rPr>
                <w:rFonts w:ascii="Arial" w:hAnsi="Arial"/>
                <w:b w:val="0"/>
                <w:color w:val="000000"/>
                <w:sz w:val="20"/>
              </w:rPr>
              <w:t>13–15</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val="0"/>
              <w:spacing w:before="40" w:after="40" w:line="252" w:lineRule="auto"/>
            </w:pPr>
            <w:r>
              <w:rPr>
                <w:rFonts w:ascii="Arial" w:hAnsi="Arial"/>
                <w:b w:val="0"/>
                <w:color w:val="000000"/>
                <w:sz w:val="20"/>
              </w:rPr>
              <w:t>Confirmar responsáveis e momentos de acompanhamento.</w:t>
            </w:r>
          </w:p>
        </w:tc>
      </w:tr>
    </w:tbl>
    <w:p>
      <w:pPr>
        <w:spacing w:before="160"/>
        <w:jc w:val="left"/>
      </w:pPr>
      <w:r>
        <w:rPr>
          <w:rFonts w:ascii="Arial" w:hAnsi="Arial"/>
          <w:color w:val="000000"/>
        </w:rPr>
        <w:t>No final, as dependências relevantes devem ter uma resposta encaminhada. Se um tema exigir análise demorada, defina quem prepara outra conversa. As atualizações individuais servem de base à reunião e não precisam de se transformar em apresentações ao grupo.</w:t>
      </w:r>
    </w:p>
    <w:p>
      <w:pPr>
        <w:pStyle w:val="Heading2"/>
        <w:pageBreakBefore/>
        <w:numPr>
          <w:ilvl w:val="1"/>
          <w:numId w:val="80"/>
        </w:numPr>
      </w:pPr>
      <w:bookmarkStart w:id="209" w:name="wp6_10"/>
      <w:r>
        <w:t>Explorar soluções e gerir conversas difíceis</w:t>
      </w:r>
      <w:bookmarkEnd w:id="209"/>
    </w:p>
    <w:p>
      <w:pPr>
        <w:pStyle w:val="Heading3"/>
        <w:jc w:val="left"/>
      </w:pPr>
      <w:r>
        <w:rPr>
          <w:rFonts w:ascii="Arial" w:hAnsi="Arial"/>
          <w:color w:val="000000"/>
        </w:rPr>
        <w:t>Explorar soluções em 60 minutos</w:t>
      </w:r>
    </w:p>
    <w:p>
      <w:pPr>
        <w:keepNext/>
        <w:jc w:val="left"/>
      </w:pPr>
      <w:r>
        <w:rPr>
          <w:rFonts w:ascii="Arial" w:hAnsi="Arial"/>
          <w:color w:val="000000"/>
        </w:rPr>
        <w:t>Antes da sessão, delimite um problema e reúna exemplos, restrições e perspetivas de quem realiza o trabalho. A proposta adapta as recomendações sobre geração de ideias (de Brabandere &amp; Iny, 2013).</w:t>
      </w:r>
    </w:p>
    <w:tbl>
      <w:tblPr>
        <w:tblW w:type="auto" w:w="0"/>
        <w:jc w:val="center"/>
        <w:tblLayout w:type="fixed"/>
        <w:tblLook w:firstColumn="1" w:firstRow="1" w:lastColumn="0" w:lastRow="0" w:noHBand="0" w:noVBand="1" w:val="04A0"/>
        <w:tblBorders>
          <w:top w:val="single" w:sz="4" w:color="C5C9CC"/>
          <w:left w:val="single" w:sz="4" w:color="C5C9CC"/>
          <w:bottom w:val="single" w:sz="4" w:color="C5C9CC"/>
          <w:right w:val="single" w:sz="4" w:color="C5C9CC"/>
          <w:insideH w:val="single" w:sz="4" w:color="C5C9CC"/>
          <w:insideV w:val="single" w:sz="4" w:color="C5C9CC"/>
          <w:top w:val="single" w:sz="4" w:color="D9D9D9"/>
          <w:left w:val="single" w:sz="4" w:color="D9D9D9"/>
          <w:bottom w:val="single" w:sz="4" w:color="D9D9D9"/>
          <w:right w:val="single" w:sz="4" w:color="D9D9D9"/>
          <w:insideH w:val="single" w:sz="4" w:color="D9D9D9"/>
          <w:insideV w:val="single" w:sz="4" w:color="D9D9D9"/>
        </w:tblBorders>
      </w:tblPr>
      <w:tblGrid>
        <w:gridCol w:w="1224"/>
        <w:gridCol w:w="8300"/>
      </w:tblGrid>
      <w:tr>
        <w:trPr>
          <w:cantSplit/>
          <w:tblHeader/>
          <w:tblHeader/>
          <w:cantSplit/>
        </w:trPr>
        <w:tc>
          <w:tcPr>
            <w:tcW w:type="dxa" w:w="1224"/>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Minutos</w:t>
            </w:r>
          </w:p>
        </w:tc>
        <w:tc>
          <w:tcPr>
            <w:tcW w:type="dxa" w:w="8300"/>
            <w:vAlign w:val="center"/>
            <w:tcMar>
              <w:top w:w="65" w:type="dxa"/>
              <w:left w:w="65" w:type="dxa"/>
              <w:bottom w:w="65" w:type="dxa"/>
              <w:right w:w="65"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O que fazer</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0–10</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Confirmar o problema e questionar um pressuposto.</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10–20</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Gerar ideias individualmente, por escrito.</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20–35</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Partilhar e desenvolver possibilidades sem as descartar cedo demais.</w:t>
            </w:r>
          </w:p>
        </w:tc>
      </w:tr>
      <w:tr>
        <w:trPr>
          <w:cantSplit/>
          <w:cantSplit/>
        </w:trPr>
        <w:tc>
          <w:tcPr>
            <w:tcW w:type="dxa" w:w="1224"/>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35–50</w:t>
            </w:r>
          </w:p>
        </w:tc>
        <w:tc>
          <w:tcPr>
            <w:tcW w:type="dxa" w:w="8300"/>
            <w:vAlign w:val="center"/>
            <w:tcMar>
              <w:top w:w="65" w:type="dxa"/>
              <w:left w:w="65" w:type="dxa"/>
              <w:bottom w:w="65" w:type="dxa"/>
              <w:right w:w="65"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Avaliar as opções com critérios acordados.</w:t>
            </w:r>
          </w:p>
        </w:tc>
      </w:tr>
      <w:tr>
        <w:trPr>
          <w:cantSplit/>
          <w:cantSplit/>
        </w:trPr>
        <w:tc>
          <w:tcPr>
            <w:tcW w:type="dxa" w:w="1224"/>
            <w:vAlign w:val="center"/>
            <w:tcMar>
              <w:top w:w="65" w:type="dxa"/>
              <w:left w:w="65" w:type="dxa"/>
              <w:bottom w:w="65" w:type="dxa"/>
              <w:right w:w="65"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50–60</w:t>
            </w:r>
          </w:p>
        </w:tc>
        <w:tc>
          <w:tcPr>
            <w:tcW w:type="dxa" w:w="8300"/>
            <w:vAlign w:val="center"/>
            <w:tcMar>
              <w:top w:w="65" w:type="dxa"/>
              <w:left w:w="65" w:type="dxa"/>
              <w:bottom w:w="65" w:type="dxa"/>
              <w:right w:w="65"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Escolher uma experiência, quem a conduz e como se aprende com ela.</w:t>
            </w:r>
          </w:p>
        </w:tc>
      </w:tr>
    </w:tbl>
    <w:p>
      <w:pPr>
        <w:spacing w:before="160"/>
        <w:jc w:val="left"/>
      </w:pPr>
      <w:r>
        <w:rPr>
          <w:rFonts w:ascii="Arial" w:hAnsi="Arial"/>
          <w:color w:val="000000"/>
        </w:rPr>
        <w:t>O resultado mínimo é uma experiência com âmbito definido e continuidade. Se a sessão terminar com ideias sem seguimento, aumentar o tempo para as gerar não resolve a dificuldade de execução. A duração de 60 minutos e esta sequência são propostas de aplicação.</w:t>
      </w:r>
    </w:p>
    <w:p>
      <w:pPr>
        <w:pStyle w:val="Heading3"/>
        <w:jc w:val="left"/>
      </w:pPr>
      <w:r>
        <w:rPr>
          <w:rFonts w:ascii="Arial" w:hAnsi="Arial"/>
          <w:color w:val="000000"/>
        </w:rPr>
        <w:t>Quando a conversa se torna difícil</w:t>
      </w:r>
    </w:p>
    <w:p>
      <w:pPr>
        <w:jc w:val="left"/>
      </w:pPr>
      <w:r>
        <w:rPr>
          <w:rFonts w:ascii="Arial" w:hAnsi="Arial"/>
          <w:color w:val="000000"/>
        </w:rPr>
        <w:t>Uma queixa repetida pode ser o ponto de partida para pedir um exemplo observável e uma proposta de ação. Assim, a conversa passa a ter uma situação concreta sobre a qual trabalhar.</w:t>
      </w:r>
    </w:p>
    <w:p>
      <w:pPr>
        <w:jc w:val="left"/>
      </w:pPr>
      <w:r>
        <w:rPr>
          <w:rFonts w:ascii="Arial" w:hAnsi="Arial"/>
          <w:color w:val="000000"/>
        </w:rPr>
        <w:t>Perante o silêncio, dê algum tempo para preparar uma resposta por escrito e pergunte que informação ainda falta. Esta possibilidade permite contribuir a quem precisa de organizar primeiro as ideias.</w:t>
      </w:r>
    </w:p>
    <w:p>
      <w:pPr>
        <w:jc w:val="left"/>
      </w:pPr>
      <w:r>
        <w:rPr>
          <w:rFonts w:ascii="Arial" w:hAnsi="Arial"/>
          <w:color w:val="000000"/>
        </w:rPr>
        <w:t>Quando houver desacordo, procure perceber se as pessoas divergem sobre os factos, os critérios de escolha ou a autoridade para decidir. Esclarecer essa diferença ajuda a orientar a conversa para o que está por resolver.</w:t>
      </w:r>
    </w:p>
    <w:p>
      <w:pPr>
        <w:jc w:val="left"/>
      </w:pPr>
      <w:r>
        <w:rPr>
          <w:rFonts w:ascii="Arial" w:hAnsi="Arial"/>
          <w:color w:val="000000"/>
        </w:rPr>
        <w:t>Estas intervenções são sugestões de facilitação. Não permitem diagnosticar a motivação das pessoas nem dispensam a escuta da situação concreta.</w:t>
      </w:r>
    </w:p>
    <w:p>
      <w:pPr>
        <w:pStyle w:val="Heading1"/>
        <w:pageBreakBefore/>
        <w:numPr>
          <w:ilvl w:val="0"/>
          <w:numId w:val="80"/>
        </w:numPr>
      </w:pPr>
      <w:bookmarkStart w:id="210" w:name="wp6_11"/>
      <w:r>
        <w:t>Depois da reunião</w:t>
      </w:r>
      <w:bookmarkEnd w:id="210"/>
    </w:p>
    <w:p>
      <w:pPr>
        <w:pStyle w:val="Heading2"/>
        <w:numPr>
          <w:ilvl w:val="1"/>
          <w:numId w:val="80"/>
        </w:numPr>
      </w:pPr>
      <w:bookmarkStart w:id="211" w:name="wp6_12"/>
      <w:r>
        <w:t>Confirmar decisões e acompanhar compromissos</w:t>
      </w:r>
      <w:bookmarkEnd w:id="211"/>
    </w:p>
    <w:p>
      <w:pPr>
        <w:jc w:val="left"/>
      </w:pPr>
      <w:r>
        <w:rPr>
          <w:rFonts w:ascii="Arial" w:hAnsi="Arial"/>
          <w:color w:val="000000"/>
        </w:rPr>
        <w:t>Os minutos finais permitem confirmar o que ficou entendido e registar a decisão. Se ainda não for possível tomá-la, importa identificar a questão pendente e a informação em falta. Mankins e Davis-Peccoud (2011) recomendam registos de decisão e acompanhamento da execução. No modelo aqui apresentado, cada compromisso fica também associado a um responsável e a uma data acordada.</w:t>
      </w:r>
    </w:p>
    <w:p>
      <w:pPr>
        <w:jc w:val="left"/>
      </w:pPr>
      <w:r>
        <w:rPr>
          <w:rFonts w:ascii="Arial" w:hAnsi="Arial"/>
          <w:color w:val="000000"/>
        </w:rPr>
        <w:t>Um registo útil pode ter poucas linhas: o que foi decidido, porquê, quem executa e quando se verifica o resultado. No encontro seguinte, reveja os desvios e as dificuldades que exigem ajuda. O acompanhamento deve servir para remover obstáculos, sem transformar a reunião numa leitura do relatório.</w:t>
      </w:r>
    </w:p>
    <w:p>
      <w:pPr>
        <w:jc w:val="left"/>
      </w:pPr>
      <w:r>
        <w:rPr>
          <w:rFonts w:ascii="Arial" w:hAnsi="Arial"/>
          <w:color w:val="000000"/>
        </w:rPr>
        <w:t>LeStage et al. (2023) associam características das equipas executivas ao desempenho das empresas e destacam a disciplina na preparação, condução e acompanhamento das reuniões. Essa associação não prova o efeito de uma formação. A aplicação sugerida passa por observar situações reais, dar feedback às chefias e verificar se as práticas continuam a ser utilizadas.</w:t>
      </w:r>
    </w:p>
    <w:p>
      <w:pPr>
        <w:pStyle w:val="Heading2"/>
        <w:numPr>
          <w:ilvl w:val="1"/>
          <w:numId w:val="80"/>
        </w:numPr>
      </w:pPr>
      <w:bookmarkStart w:id="212" w:name="wp6_13"/>
      <w:r>
        <w:t>Registar a decisão de forma útil</w:t>
      </w:r>
      <w:bookmarkEnd w:id="212"/>
    </w:p>
    <w:p>
      <w:pPr/>
      <w:r>
        <w:t>O exemplo seguinte complementa o modelo de preparação da secção 2.3. Foi elaborado para este documento e deve ser preenchido com os responsáveis e as datas acordados pela equipa.</w:t>
      </w:r>
    </w:p>
    <w:p>
      <w:pPr>
        <w:jc w:val="left"/>
      </w:pPr>
      <w:r>
        <w:rPr>
          <w:b/>
        </w:rPr>
        <w:t>Decisão:</w:t>
      </w:r>
      <w:r>
        <w:t xml:space="preserve"> durante duas semanas, as equipas A e B vão usar um formulário comum para receber um único tipo de pedido. O exemplo é ilustrativo.</w:t>
      </w:r>
    </w:p>
    <w:p>
      <w:pPr>
        <w:jc w:val="left"/>
      </w:pPr>
      <w:r>
        <w:rPr>
          <w:b/>
        </w:rPr>
        <w:t>Fundamento:</w:t>
      </w:r>
      <w:r>
        <w:t xml:space="preserve"> permitir que ambas confirmem os requisitos mínimos antes de atribuir o trabalho. A experiência vai testar se os requisitos escolhidos ajudam a reduzir os pedidos de esclarecimento.</w:t>
      </w:r>
    </w:p>
    <w:p>
      <w:pPr>
        <w:jc w:val="left"/>
      </w:pPr>
      <w:r>
        <w:rPr>
          <w:b/>
        </w:rPr>
        <w:t>Execução:</w:t>
      </w:r>
      <w:r>
        <w:t xml:space="preserve"> a chefia A prepara o formulário até à data acordada. A chefia B testa três pedidos e devolve comentários. A equipa preenche os nomes e as datas reais antes de iniciar o teste.</w:t>
      </w:r>
    </w:p>
    <w:p>
      <w:pPr>
        <w:jc w:val="left"/>
      </w:pPr>
      <w:r>
        <w:rPr>
          <w:b/>
        </w:rPr>
        <w:t>Revisão:</w:t>
      </w:r>
      <w:r>
        <w:t xml:space="preserve"> comparar a proporção de pedidos aceites à primeira e o tempo total investido. Registar as exceções e ajustar o formulário se acrescentar trabalho sem melhorar a clareza.</w:t>
      </w:r>
    </w:p>
    <w:p>
      <w:pPr>
        <w:pStyle w:val="Heading2"/>
        <w:pageBreakBefore/>
        <w:numPr>
          <w:ilvl w:val="1"/>
          <w:numId w:val="80"/>
        </w:numPr>
      </w:pPr>
      <w:bookmarkStart w:id="213" w:name="wp6_14"/>
      <w:r>
        <w:t>Avaliar o tempo e os resultados</w:t>
      </w:r>
      <w:bookmarkEnd w:id="213"/>
    </w:p>
    <w:p>
      <w:pPr>
        <w:keepNext/>
        <w:jc w:val="left"/>
      </w:pPr>
      <w:r>
        <w:rPr>
          <w:rFonts w:ascii="Arial" w:hAnsi="Arial"/>
          <w:color w:val="000000"/>
        </w:rPr>
        <w:t>A avaliação deve incluir a preparação, a reunião e o trabalho que se segue. Um encontro mais curto pode dar origem a mais mensagens, repetição de tarefas ou decisões pouco fundamentadas. Escolha poucos indicadores ligados ao problema da equipa e mantenha as mesmas definições durante o piloto.</w:t>
      </w:r>
    </w:p>
    <w:tbl>
      <w:tblPr>
        <w:tblW w:type="auto" w:w="0"/>
        <w:jc w:val="center"/>
        <w:tblLayout w:type="fixed"/>
        <w:tblLook w:firstColumn="1" w:firstRow="1" w:lastColumn="0" w:lastRow="0" w:noHBand="0" w:noVBand="1" w:val="04A0"/>
        <w:tblBorders>
          <w:top w:val="single" w:sz="4" w:color="C5C9CC"/>
          <w:left w:val="single" w:sz="4" w:color="C5C9CC"/>
          <w:bottom w:val="single" w:sz="4" w:color="C5C9CC"/>
          <w:right w:val="single" w:sz="4" w:color="C5C9CC"/>
          <w:insideH w:val="single" w:sz="4" w:color="C5C9CC"/>
          <w:insideV w:val="single" w:sz="4" w:color="C5C9CC"/>
          <w:top w:val="single" w:sz="4" w:color="D9D9D9"/>
          <w:left w:val="single" w:sz="4" w:color="D9D9D9"/>
          <w:bottom w:val="single" w:sz="4" w:color="D9D9D9"/>
          <w:right w:val="single" w:sz="4" w:color="D9D9D9"/>
          <w:insideH w:val="single" w:sz="4" w:color="D9D9D9"/>
          <w:insideV w:val="single" w:sz="4" w:color="D9D9D9"/>
        </w:tblBorders>
      </w:tblPr>
      <w:tblGrid>
        <w:gridCol w:w="2000"/>
        <w:gridCol w:w="4000"/>
        <w:gridCol w:w="3524"/>
      </w:tblGrid>
      <w:tr>
        <w:trPr>
          <w:cantSplit/>
          <w:tblHeader/>
          <w:tblHeader/>
          <w:cantSplit/>
        </w:trPr>
        <w:tc>
          <w:tcPr>
            <w:tcW w:type="dxa" w:w="2000"/>
            <w:vAlign w:val="center"/>
            <w:tcMar>
              <w:top w:w="80" w:type="dxa"/>
              <w:left w:w="80" w:type="dxa"/>
              <w:bottom w:w="80" w:type="dxa"/>
              <w:right w:w="80"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Indicador</w:t>
            </w:r>
          </w:p>
        </w:tc>
        <w:tc>
          <w:tcPr>
            <w:tcW w:type="dxa" w:w="4000"/>
            <w:vAlign w:val="center"/>
            <w:tcMar>
              <w:top w:w="80" w:type="dxa"/>
              <w:left w:w="80" w:type="dxa"/>
              <w:bottom w:w="80" w:type="dxa"/>
              <w:right w:w="80"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Cálculo ou registo</w:t>
            </w:r>
          </w:p>
        </w:tc>
        <w:tc>
          <w:tcPr>
            <w:tcW w:type="dxa" w:w="3524"/>
            <w:vAlign w:val="center"/>
            <w:tcMar>
              <w:top w:w="80" w:type="dxa"/>
              <w:left w:w="80" w:type="dxa"/>
              <w:bottom w:w="80" w:type="dxa"/>
              <w:right w:w="80" w:type="dxa"/>
            </w:tcMar>
            <w:shd w:fill="243C50"/>
            <w:tcMar>
              <w:top w:w="90" w:type="dxa"/>
              <w:bottom w:w="90" w:type="dxa"/>
              <w:left w:w="90" w:type="dxa"/>
              <w:right w:w="90" w:type="dxa"/>
            </w:tcMar>
          </w:tcPr>
          <w:p>
            <w:pPr>
              <w:keepNext/>
              <w:spacing w:before="40" w:after="40" w:line="252" w:lineRule="auto"/>
            </w:pPr>
            <w:r>
              <w:rPr>
                <w:rFonts w:ascii="Arial" w:hAnsi="Arial"/>
                <w:b/>
                <w:color w:val="FFFFFF"/>
                <w:sz w:val="20"/>
              </w:rPr>
              <w:t>O que permite perceber</w:t>
            </w:r>
          </w:p>
        </w:tc>
      </w:tr>
      <w:tr>
        <w:trPr>
          <w:cantSplit/>
          <w:cantSplit/>
        </w:trPr>
        <w:tc>
          <w:tcPr>
            <w:tcW w:type="dxa" w:w="2000"/>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Tempo total investido</w:t>
            </w:r>
          </w:p>
        </w:tc>
        <w:tc>
          <w:tcPr>
            <w:tcW w:type="dxa" w:w="4000"/>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Somar, para cada pessoa, o tempo de preparação, presença e acompanhamento.</w:t>
            </w:r>
          </w:p>
        </w:tc>
        <w:tc>
          <w:tcPr>
            <w:tcW w:type="dxa" w:w="3524"/>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Quanto tempo a equipa dedica ao processo completo.</w:t>
            </w:r>
          </w:p>
        </w:tc>
      </w:tr>
      <w:tr>
        <w:trPr>
          <w:cantSplit/>
          <w:cantSplit/>
        </w:trPr>
        <w:tc>
          <w:tcPr>
            <w:tcW w:type="dxa" w:w="2000"/>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Decisões pendentes</w:t>
            </w:r>
          </w:p>
        </w:tc>
        <w:tc>
          <w:tcPr>
            <w:tcW w:type="dxa" w:w="4000"/>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Contar as decisões com prazo ultrapassado e registar os dias até à decisão.</w:t>
            </w:r>
          </w:p>
        </w:tc>
        <w:tc>
          <w:tcPr>
            <w:tcW w:type="dxa" w:w="3524"/>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Onde se acumulam bloqueios e quanto duram.</w:t>
            </w:r>
          </w:p>
        </w:tc>
      </w:tr>
      <w:tr>
        <w:trPr>
          <w:cantSplit/>
          <w:cantSplit/>
        </w:trPr>
        <w:tc>
          <w:tcPr>
            <w:tcW w:type="dxa" w:w="2000"/>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Compromissos cumpridos</w:t>
            </w:r>
          </w:p>
        </w:tc>
        <w:tc>
          <w:tcPr>
            <w:tcW w:type="dxa" w:w="4000"/>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Entre as ações com conclusão prevista até à revisão: concluídas no prazo ÷ total × 100.</w:t>
            </w:r>
          </w:p>
        </w:tc>
        <w:tc>
          <w:tcPr>
            <w:tcW w:type="dxa" w:w="3524"/>
            <w:vAlign w:val="center"/>
            <w:tcMar>
              <w:top w:w="80" w:type="dxa"/>
              <w:left w:w="80" w:type="dxa"/>
              <w:bottom w:w="80" w:type="dxa"/>
              <w:right w:w="80" w:type="dxa"/>
            </w:tcMar>
            <w:shd w:fill="F2F5F7"/>
            <w:tcMar>
              <w:top w:w="90" w:type="dxa"/>
              <w:bottom w:w="90" w:type="dxa"/>
              <w:left w:w="90" w:type="dxa"/>
              <w:right w:w="90" w:type="dxa"/>
            </w:tcMar>
          </w:tcPr>
          <w:p>
            <w:pPr>
              <w:keepNext/>
              <w:spacing w:before="40" w:after="40" w:line="252" w:lineRule="auto"/>
            </w:pPr>
            <w:r>
              <w:rPr>
                <w:rFonts w:ascii="Arial" w:hAnsi="Arial"/>
                <w:b w:val="0"/>
                <w:color w:val="000000"/>
                <w:sz w:val="20"/>
              </w:rPr>
              <w:t>Que parte dos compromissos foi cumprida a tempo.</w:t>
            </w:r>
          </w:p>
        </w:tc>
      </w:tr>
      <w:tr>
        <w:trPr>
          <w:cantSplit/>
          <w:cantSplit/>
        </w:trPr>
        <w:tc>
          <w:tcPr>
            <w:tcW w:type="dxa" w:w="2000"/>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Clareza no final</w:t>
            </w:r>
          </w:p>
        </w:tc>
        <w:tc>
          <w:tcPr>
            <w:tcW w:type="dxa" w:w="4000"/>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Fazer sempre a mesma pergunta breve sobre a decisão e o próximo passo.</w:t>
            </w:r>
          </w:p>
        </w:tc>
        <w:tc>
          <w:tcPr>
            <w:tcW w:type="dxa" w:w="3524"/>
            <w:vAlign w:val="center"/>
            <w:tcMar>
              <w:top w:w="80" w:type="dxa"/>
              <w:left w:w="80" w:type="dxa"/>
              <w:bottom w:w="80" w:type="dxa"/>
              <w:right w:w="80" w:type="dxa"/>
            </w:tcMar>
            <w:shd w:fill="FFFFFF"/>
            <w:tcMar>
              <w:top w:w="90" w:type="dxa"/>
              <w:bottom w:w="90" w:type="dxa"/>
              <w:left w:w="90" w:type="dxa"/>
              <w:right w:w="90" w:type="dxa"/>
            </w:tcMar>
          </w:tcPr>
          <w:p>
            <w:pPr>
              <w:keepNext/>
              <w:spacing w:before="40" w:after="40" w:line="252" w:lineRule="auto"/>
            </w:pPr>
            <w:r>
              <w:rPr>
                <w:rFonts w:ascii="Arial" w:hAnsi="Arial"/>
                <w:b w:val="0"/>
                <w:color w:val="000000"/>
                <w:sz w:val="20"/>
              </w:rPr>
              <w:t>Como os participantes compreenderam o resultado.</w:t>
            </w:r>
          </w:p>
        </w:tc>
      </w:tr>
      <w:tr>
        <w:trPr>
          <w:cantSplit/>
          <w:cantSplit/>
        </w:trPr>
        <w:tc>
          <w:tcPr>
            <w:tcW w:type="dxa" w:w="2000"/>
            <w:vAlign w:val="center"/>
            <w:tcMar>
              <w:top w:w="80" w:type="dxa"/>
              <w:left w:w="80" w:type="dxa"/>
              <w:bottom w:w="80" w:type="dxa"/>
              <w:right w:w="80"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Trabalho reaberto</w:t>
            </w:r>
          </w:p>
        </w:tc>
        <w:tc>
          <w:tcPr>
            <w:tcW w:type="dxa" w:w="4000"/>
            <w:vAlign w:val="center"/>
            <w:tcMar>
              <w:top w:w="80" w:type="dxa"/>
              <w:left w:w="80" w:type="dxa"/>
              <w:bottom w:w="80" w:type="dxa"/>
              <w:right w:w="80"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Registar os casos reabertos por falta de informação ou de clareza nas responsabilidades.</w:t>
            </w:r>
          </w:p>
        </w:tc>
        <w:tc>
          <w:tcPr>
            <w:tcW w:type="dxa" w:w="3524"/>
            <w:vAlign w:val="center"/>
            <w:tcMar>
              <w:top w:w="80" w:type="dxa"/>
              <w:left w:w="80" w:type="dxa"/>
              <w:bottom w:w="80" w:type="dxa"/>
              <w:right w:w="80" w:type="dxa"/>
            </w:tcMar>
            <w:shd w:fill="F2F5F7"/>
            <w:tcMar>
              <w:top w:w="90" w:type="dxa"/>
              <w:bottom w:w="90" w:type="dxa"/>
              <w:left w:w="90" w:type="dxa"/>
              <w:right w:w="90" w:type="dxa"/>
            </w:tcMar>
          </w:tcPr>
          <w:p>
            <w:pPr>
              <w:keepNext w:val="0"/>
              <w:spacing w:before="40" w:after="40" w:line="252" w:lineRule="auto"/>
            </w:pPr>
            <w:r>
              <w:rPr>
                <w:rFonts w:ascii="Arial" w:hAnsi="Arial"/>
                <w:b w:val="0"/>
                <w:color w:val="000000"/>
                <w:sz w:val="20"/>
              </w:rPr>
              <w:t>Se a rapidez no fecho criou trabalho adicional.</w:t>
            </w:r>
          </w:p>
        </w:tc>
      </w:tr>
    </w:tbl>
    <w:p>
      <w:pPr>
        <w:spacing w:before="160"/>
        <w:jc w:val="left"/>
      </w:pPr>
      <w:r>
        <w:rPr>
          <w:rFonts w:ascii="Arial" w:hAnsi="Arial"/>
          <w:color w:val="000000"/>
        </w:rPr>
        <w:t>Na taxa de cumprimento, contam as ações cuja data acordada é anterior ou igual à data da revisão, incluindo as já concluídas. Se nenhuma ação tiver conclusão prevista até essa data, registe «não aplicável», em vez de 100%. Acorde também como tratar prazos renegociados e preserve a data inicial, para que a simples alteração de um prazo não melhore o indicador.</w:t>
      </w:r>
    </w:p>
    <w:p>
      <w:pPr>
        <w:pStyle w:val="Heading3"/>
        <w:jc w:val="left"/>
      </w:pPr>
      <w:r>
        <w:rPr>
          <w:rFonts w:ascii="Arial" w:hAnsi="Arial"/>
          <w:color w:val="000000"/>
        </w:rPr>
        <w:t>Exemplo aritmético sem promessa financeira</w:t>
      </w:r>
    </w:p>
    <w:p>
      <w:pPr>
        <w:jc w:val="left"/>
      </w:pPr>
      <w:r>
        <w:rPr>
          <w:rFonts w:ascii="Arial" w:hAnsi="Arial"/>
          <w:color w:val="000000"/>
        </w:rPr>
        <w:t>Oito pessoas numa reunião de 60 minutos representam oito horas de participação. Se o encontro passar a 40 minutos, a mesma equipa utiliza cinco horas e vinte minutos. A diferença é de duas horas e quarenta. Porém, dez minutos adicionais de preparação por pessoa consomem uma hora e vinte. Nesse cenário, ficam disponíveis mais uma hora e vinte, antes de contar o acompanhamento posterior.</w:t>
      </w:r>
    </w:p>
    <w:p>
      <w:pPr>
        <w:jc w:val="left"/>
      </w:pPr>
      <w:r>
        <w:rPr>
          <w:rFonts w:ascii="Arial" w:hAnsi="Arial"/>
          <w:color w:val="000000"/>
        </w:rPr>
        <w:t>Esse tempo representa capacidade potencialmente disponível. Para o traduzir em redução de custos, receita ou retorno do investimento, seria necessário conhecer os custos relevantes, a utilização efetiva do tempo e os resultados obtidos.</w:t>
      </w:r>
    </w:p>
    <w:p>
      <w:pPr>
        <w:pStyle w:val="Heading3"/>
        <w:jc w:val="left"/>
      </w:pPr>
      <w:r>
        <w:rPr>
          <w:rFonts w:ascii="Arial" w:hAnsi="Arial"/>
          <w:color w:val="000000"/>
        </w:rPr>
        <w:t>Como recolher dados úteis</w:t>
      </w:r>
    </w:p>
    <w:p>
      <w:pPr>
        <w:jc w:val="left"/>
      </w:pPr>
      <w:r>
        <w:rPr>
          <w:rFonts w:ascii="Arial" w:hAnsi="Arial"/>
          <w:color w:val="000000"/>
        </w:rPr>
        <w:t>Registe todas as ocorrências das duas reuniões durante o período inicial e o teste. Inclua o número de participantes, o volume e a complexidade do trabalho. Compare as medianas de duração e de espera, indicando também quantas observações existem. Recolha separadamente a opinião dos participantes e da chefia.</w:t>
      </w:r>
    </w:p>
    <w:p>
      <w:pPr>
        <w:jc w:val="left"/>
      </w:pPr>
      <w:r>
        <w:rPr>
          <w:rFonts w:ascii="Arial" w:hAnsi="Arial"/>
          <w:color w:val="000000"/>
        </w:rPr>
        <w:t>Cohen et al. (2011) encontraram avaliações mais favoráveis entre quem se identificava como facilitador. Ouvir também quem participa sem conduzir a reunião permite recolher outras perspetivas sobre a experiência.</w:t>
      </w:r>
    </w:p>
    <w:p>
      <w:pPr>
        <w:pStyle w:val="Heading1"/>
        <w:pageBreakBefore/>
        <w:numPr>
          <w:ilvl w:val="0"/>
          <w:numId w:val="80"/>
        </w:numPr>
      </w:pPr>
      <w:bookmarkStart w:id="214" w:name="wp6_15"/>
      <w:r>
        <w:t>A solução P&amp;D</w:t>
      </w:r>
      <w:bookmarkEnd w:id="214"/>
    </w:p>
    <w:p>
      <w:pPr>
        <w:jc w:val="left"/>
      </w:pPr>
      <w:r>
        <w:rPr>
          <w:rFonts w:ascii="Arial" w:hAnsi="Arial"/>
          <w:color w:val="000000"/>
        </w:rPr>
        <w:t>O modelo P&amp;D «Antes, Durante e Depois» reúne as práticas deste white paper numa sequência de utilização diária. A proposta organiza a preparação, a condução da conversa e o acompanhamento dos compromissos, para que cada reunião tenha um resultado claro e continuidade no trabalho.</w:t>
      </w:r>
    </w:p>
    <w:p>
      <w:pPr>
        <w:pStyle w:val="Heading2"/>
        <w:numPr>
          <w:ilvl w:val="1"/>
          <w:numId w:val="80"/>
        </w:numPr>
      </w:pPr>
      <w:bookmarkStart w:id="215" w:name="wp6_16"/>
      <w:r>
        <w:t>Antes da reunião</w:t>
      </w:r>
      <w:bookmarkEnd w:id="215"/>
    </w:p>
    <w:p>
      <w:pPr>
        <w:jc w:val="left"/>
      </w:pPr>
      <w:r>
        <w:rPr>
          <w:rFonts w:ascii="Arial" w:hAnsi="Arial"/>
          <w:color w:val="000000"/>
        </w:rPr>
        <w:t>Confirme se é necessário reunir ou se o objetivo pode ser alcançado por uma atualização escrita ou uma decisão individual. Quando a conversa em conjunto for necessária, defina o resultado esperado, escolha os participantes pelo contributo de que precisa e esclareça o papel de cada pessoa. Prepare uma agenda com os assuntos, os tempos e os responsáveis pelos contributos. Envie a informação necessária à preparação.</w:t>
      </w:r>
    </w:p>
    <w:p>
      <w:pPr>
        <w:pStyle w:val="Heading2"/>
        <w:numPr>
          <w:ilvl w:val="1"/>
          <w:numId w:val="80"/>
        </w:numPr>
      </w:pPr>
      <w:bookmarkStart w:id="216" w:name="wp6_17"/>
      <w:r>
        <w:t>Durante a reunião</w:t>
      </w:r>
      <w:bookmarkEnd w:id="216"/>
    </w:p>
    <w:p>
      <w:pPr>
        <w:jc w:val="left"/>
      </w:pPr>
      <w:r>
        <w:rPr>
          <w:rFonts w:ascii="Arial" w:hAnsi="Arial"/>
          <w:color w:val="000000"/>
        </w:rPr>
        <w:t>Comece à hora acordada e confirme o objetivo e a agenda. Quem conduz a reunião acompanha o tempo, evita interrupções e conversas paralelas e ajuda a manter a discussão centrada no assunto. Dê oportunidade de participação às pessoas menos interventivas e confirme as suas posições: o silêncio não deve ser interpretado como concordância. Resuma os pontos de desacordo e, no final de cada assunto, confirme a decisão, a ação, o responsável e o prazo. Registe separadamente os temas que não possam ser resolvidos nesse momento.</w:t>
      </w:r>
    </w:p>
    <w:p>
      <w:pPr>
        <w:pStyle w:val="Heading2"/>
        <w:numPr>
          <w:ilvl w:val="1"/>
          <w:numId w:val="80"/>
        </w:numPr>
      </w:pPr>
      <w:bookmarkStart w:id="217" w:name="wp6_18"/>
      <w:r>
        <w:t>Depois da reunião</w:t>
      </w:r>
      <w:bookmarkEnd w:id="217"/>
    </w:p>
    <w:p>
      <w:pPr>
        <w:jc w:val="left"/>
      </w:pPr>
      <w:r>
        <w:rPr>
          <w:rFonts w:ascii="Arial" w:hAnsi="Arial"/>
          <w:color w:val="000000"/>
        </w:rPr>
        <w:t>Faça circular rapidamente um registo breve, para que todos possam confirmar o que ficou acordado. Esse registo deve responder a cinco perguntas: o que decidimos, o que ficou por decidir, o que vai ser feito, quem é responsável e quando deve estar concluído. Reveja também o que funcionou na reunião e o que deve mudar na seguinte.</w:t>
      </w:r>
    </w:p>
    <w:p>
      <w:pPr>
        <w:jc w:val="left"/>
      </w:pPr>
      <w:r>
        <w:rPr>
          <w:rFonts w:ascii="Arial" w:hAnsi="Arial"/>
          <w:color w:val="000000"/>
        </w:rPr>
        <w:t>As pendências precisam de seguimento, tal como as decisões. No encontro seguinte, use o registo para esclarecer bloqueios e acompanhar as ações. Assim, a aprendizagem sobre a reunião e a execução do trabalho alimentam a preparação do próximo encontro.</w:t>
      </w:r>
    </w:p>
    <w:p>
      <w:pPr>
        <w:pStyle w:val="Heading2"/>
        <w:numPr>
          <w:ilvl w:val="1"/>
          <w:numId w:val="80"/>
        </w:numPr>
      </w:pPr>
      <w:bookmarkStart w:id="218" w:name="wp6_19"/>
      <w:r>
        <w:t>Ligação aos modelos e ao piloto</w:t>
      </w:r>
      <w:bookmarkEnd w:id="218"/>
    </w:p>
    <w:p>
      <w:pPr>
        <w:jc w:val="left"/>
      </w:pPr>
      <w:r>
        <w:rPr>
          <w:rFonts w:ascii="Arial" w:hAnsi="Arial"/>
          <w:color w:val="000000"/>
        </w:rPr>
        <w:t>Nas duas reuniões escolhidas para o piloto do capítulo 6, esta sequência pode orientar o convite, a condução e o registo final. O modelo da secção 2.3 apoia a preparação; a secção 4.2 exemplifica o registo das decisões; os indicadores da secção 4.3 permitem acompanhar o tempo total, a clareza e o cumprimento dos compromissos. Esta ligação é uma proposta de aplicação do modelo ao piloto e deve ser ajustada ao contexto da equipa.</w:t>
      </w:r>
    </w:p>
    <w:p>
      <w:pPr>
        <w:jc w:val="left"/>
      </w:pPr>
      <w:r>
        <w:rPr>
          <w:rFonts w:ascii="Arial" w:hAnsi="Arial"/>
          <w:color w:val="000000"/>
        </w:rPr>
        <w:t>O modelo foi adaptado de Reuniões Eficientes (2026, pp. 4–5), documento de apoio ao webinar enviado por Gustavo Ribeiro em 8 de setembro de 2026. Trata-se de uma proposta prática de organização das reuniões, sem uma estimativa de efeito validada para este piloto.</w:t>
      </w:r>
    </w:p>
    <w:p>
      <w:pPr>
        <w:pStyle w:val="Heading1"/>
        <w:pageBreakBefore/>
        <w:numPr>
          <w:ilvl w:val="0"/>
          <w:numId w:val="80"/>
        </w:numPr>
      </w:pPr>
      <w:bookmarkStart w:id="219" w:name="wp6_20"/>
      <w:r>
        <w:t>Implementação e continuidade</w:t>
      </w:r>
      <w:bookmarkEnd w:id="219"/>
    </w:p>
    <w:p>
      <w:pPr>
        <w:pStyle w:val="Heading2"/>
        <w:numPr>
          <w:ilvl w:val="1"/>
          <w:numId w:val="80"/>
        </w:numPr>
      </w:pPr>
      <w:bookmarkStart w:id="220" w:name="wp6_21"/>
      <w:r>
        <w:t>Testar as práticas durante quatro semanas</w:t>
      </w:r>
      <w:bookmarkEnd w:id="220"/>
    </w:p>
    <w:p>
      <w:pPr>
        <w:jc w:val="left"/>
      </w:pPr>
      <w:r>
        <w:rPr>
          <w:rFonts w:ascii="Arial" w:hAnsi="Arial"/>
          <w:color w:val="000000"/>
        </w:rPr>
        <w:t>O ponto de partida é uma equipa e duas reuniões recorrentes, com o objetivo de desenvolver práticas de liderança e colaboração. A sequência seguinte exemplifica uma forma de testar mudanças no contexto da organização. A duração e as etapas são propostas de aplicação, cuja utilidade precisa de ser avaliada.</w:t>
      </w:r>
    </w:p>
    <w:p>
      <w:pPr>
        <w:jc w:val="left"/>
      </w:pPr>
      <w:r>
        <w:rPr>
          <w:b/>
        </w:rPr>
        <w:t>Na primeira semana, a chefia e quem acompanha o teste escolhem um problema concreto.</w:t>
      </w:r>
      <w:r>
        <w:t xml:space="preserve"> Com o acordo dos participantes, observam uma reunião e recolhem uma medida inicial, como o número de assuntos que regressam sem decisão ou a proporção de compromissos sem responsável. O acompanhamento pode ser assegurado por alguém da organização ou por um facilitador externo. A recolha deve ser simples e útil para o problema escolhido.</w:t>
      </w:r>
    </w:p>
    <w:p>
      <w:pPr>
        <w:jc w:val="left"/>
      </w:pPr>
      <w:r>
        <w:rPr>
          <w:b/>
        </w:rPr>
        <w:t>Na segunda semana, a equipa revê os convites, a preparação e a forma de terminar as reuniões.</w:t>
      </w:r>
      <w:r>
        <w:t xml:space="preserve"> Define quem conduz a conversa, como recolhe contributos e onde regista as decisões. Convém alterar poucas práticas de cada vez, para que seja possível aplicá-las no trabalho diário.</w:t>
      </w:r>
    </w:p>
    <w:p>
      <w:pPr>
        <w:jc w:val="left"/>
      </w:pPr>
      <w:r>
        <w:rPr>
          <w:b/>
        </w:rPr>
        <w:t>Na terceira semana, a equipa experimenta o novo formato.</w:t>
      </w:r>
      <w:r>
        <w:t xml:space="preserve"> A chefia recebe feedback sobre a condução da conversa e analisa os obstáculos com os participantes. As práticas que não ajudarem são ajustadas de acordo com o que foi observado.</w:t>
      </w:r>
    </w:p>
    <w:p>
      <w:pPr>
        <w:jc w:val="left"/>
      </w:pPr>
      <w:r>
        <w:rPr>
          <w:b/>
        </w:rPr>
        <w:t>Na quarta semana, compara-se a experiência com o ponto de partida.</w:t>
      </w:r>
      <w:r>
        <w:t xml:space="preserve"> A avaliação acompanha o tempo investido, a clareza percebida e a execução dos compromissos. Uma reunião mais curta só representa uma melhoria se continuar a cumprir a sua função. É necessário ouvir os participantes, além de quem conduz o encontro. A comparação antes e depois ajuda a decidir se vale a pena continuar, mas não separa o efeito do piloto de outras mudanças.</w:t>
      </w:r>
    </w:p>
    <w:p>
      <w:pPr>
        <w:jc w:val="left"/>
      </w:pPr>
      <w:r>
        <w:rPr>
          <w:rFonts w:ascii="Arial" w:hAnsi="Arial"/>
          <w:color w:val="000000"/>
        </w:rPr>
        <w:t>Pretende-se chegar a um acordo que a equipa consiga manter: que reuniões realiza, para quê, como decide e como acompanha os compromissos. O alargamento a outras equipas depende da utilidade observada e das prioridades da organização.</w:t>
      </w:r>
    </w:p>
    <w:p>
      <w:pPr>
        <w:pStyle w:val="Heading2"/>
        <w:numPr>
          <w:ilvl w:val="1"/>
          <w:numId w:val="80"/>
        </w:numPr>
      </w:pPr>
      <w:bookmarkStart w:id="221" w:name="wp6_22"/>
      <w:r>
        <w:t>Interpretar os resultados do piloto</w:t>
      </w:r>
      <w:bookmarkEnd w:id="221"/>
    </w:p>
    <w:p>
      <w:pPr>
        <w:jc w:val="left"/>
      </w:pPr>
      <w:r>
        <w:rPr>
          <w:rFonts w:ascii="Arial" w:hAnsi="Arial"/>
          <w:color w:val="000000"/>
        </w:rPr>
        <w:t>Quatro semanas permitem experimentar as práticas, mas produzem poucas observações quando as reuniões são semanais. Se o ponto de partida for instável ou o trabalho variar muito com a época do ano, prolongue a recolha inicial antes de interpretar as diferenças.</w:t>
      </w:r>
    </w:p>
    <w:p>
      <w:pPr>
        <w:pStyle w:val="Heading2"/>
        <w:numPr>
          <w:ilvl w:val="1"/>
          <w:numId w:val="80"/>
        </w:numPr>
      </w:pPr>
      <w:bookmarkStart w:id="222" w:name="wp6_23"/>
      <w:r>
        <w:t>Distribuir responsabilidades e documentos</w:t>
      </w:r>
      <w:bookmarkEnd w:id="222"/>
    </w:p>
    <w:p>
      <w:pPr>
        <w:jc w:val="left"/>
      </w:pPr>
      <w:r>
        <w:rPr>
          <w:rFonts w:ascii="Arial" w:hAnsi="Arial"/>
          <w:color w:val="000000"/>
        </w:rPr>
        <w:t>A chefia escolhe o problema e assegura a autoridade necessária para alterar a rotina. A equipa participa na preparação do teste e experimenta as práticas. A pessoa responsável pelo acompanhamento conduz o diagnóstico e dá feedback à liderança sobre os comportamentos e os acordos observados. O responsável pelos dados confirma as definições e o registo dos indicadores.</w:t>
      </w:r>
    </w:p>
    <w:p>
      <w:pPr>
        <w:jc w:val="left"/>
      </w:pPr>
      <w:r>
        <w:rPr>
          <w:rFonts w:ascii="Arial" w:hAnsi="Arial"/>
          <w:color w:val="000000"/>
        </w:rPr>
        <w:t>O trabalho deve produzir um mapa das duas reuniões, um modelo de preparação, um registo de decisões e um acordo de funcionamento de uma página. O balanço final explica o que foi utilizado, o que mudou, que outras razões podem explicar a mudança e o que se decidiu sobre a continuidade. A observação pode ser feita sem gravar as reuniões.</w:t>
      </w:r>
    </w:p>
    <w:p>
      <w:pPr>
        <w:pStyle w:val="Heading2"/>
        <w:numPr>
          <w:ilvl w:val="1"/>
          <w:numId w:val="80"/>
        </w:numPr>
      </w:pPr>
      <w:bookmarkStart w:id="223" w:name="wp6_24"/>
      <w:r>
        <w:t>Acordar os critérios antes do teste</w:t>
      </w:r>
      <w:bookmarkEnd w:id="223"/>
    </w:p>
    <w:p>
      <w:pPr>
        <w:jc w:val="left"/>
      </w:pPr>
      <w:r>
        <w:rPr>
          <w:rFonts w:ascii="Arial" w:hAnsi="Arial"/>
          <w:color w:val="000000"/>
        </w:rPr>
        <w:t>Uma possível regra é manter as práticas se forem utilizadas em pelo menos três de quatro reuniões observadas, se a clareza dos participantes se mantiver ou melhorar e se o trabalho reaberto não aumentar. Esta é uma proposta operacional, não um limiar científico. Deve ser acordada tendo em conta o número de reuniões e a relevância do trabalho.</w:t>
      </w:r>
    </w:p>
    <w:p>
      <w:pPr>
        <w:jc w:val="left"/>
      </w:pPr>
      <w:r>
        <w:rPr>
          <w:rFonts w:ascii="Arial" w:hAnsi="Arial"/>
          <w:color w:val="000000"/>
        </w:rPr>
        <w:t>Se o encontro ficar mais curto, mas aumentar a falta de informação, ajuste a preparação. Se os compromissos forem claros e continuarem por executar, verifique a capacidade da equipa, as prioridades e as dependências. Quando falta autoridade para decidir, é necessário rever os papéis e o circuito de decisão; uma técnica de condução da conversa não resolve, por si só, esse problema.</w:t>
      </w:r>
    </w:p>
    <w:p>
      <w:pPr>
        <w:pStyle w:val="Heading2"/>
        <w:numPr>
          <w:ilvl w:val="1"/>
          <w:numId w:val="80"/>
        </w:numPr>
      </w:pPr>
      <w:bookmarkStart w:id="224" w:name="wp6_25"/>
      <w:r>
        <w:t>Acompanhar aos 30 e aos 60 dias</w:t>
      </w:r>
      <w:bookmarkEnd w:id="224"/>
    </w:p>
    <w:p>
      <w:pPr>
        <w:jc w:val="left"/>
      </w:pPr>
      <w:r>
        <w:rPr>
          <w:rFonts w:ascii="Arial" w:hAnsi="Arial"/>
          <w:color w:val="000000"/>
        </w:rPr>
        <w:t>Depois do piloto, a chefia pode rever duas ocorrências aos 30 dias e outras duas aos 60. Com quem acompanhou o teste, avalia se a prática se mantém de forma autónoma e se faz sentido adaptá-la a outra equipa. O alargamento depende do contexto e de um responsável local que acompanhe a aplicação.</w:t>
      </w:r>
    </w:p>
    <w:p>
      <w:pPr>
        <w:jc w:val="left"/>
      </w:pPr>
      <w:r>
        <w:rPr>
          <w:rFonts w:ascii="Arial" w:hAnsi="Arial"/>
          <w:color w:val="000000"/>
        </w:rPr>
        <w:t>A comparação antes e depois não isola o efeito da intervenção. Quando for viável, acompanhar uma equipa semelhante que adote o método mais tarde pode ajudar a interpretar a mudança. Ainda assim, as diferenças entre equipas e contextos continuam a precisar de análise. O balanço deve apresentar conclusões proporcionais aos dados recolhidos.</w:t>
      </w:r>
    </w:p>
    <w:p>
      <w:pPr>
        <w:pStyle w:val="Heading2"/>
        <w:numPr>
          <w:ilvl w:val="1"/>
          <w:numId w:val="80"/>
        </w:numPr>
      </w:pPr>
      <w:bookmarkStart w:id="225" w:name="wp6_26"/>
      <w:r>
        <w:t>Conclusão</w:t>
      </w:r>
      <w:bookmarkEnd w:id="225"/>
    </w:p>
    <w:p>
      <w:pPr>
        <w:jc w:val="left"/>
      </w:pPr>
      <w:r>
        <w:rPr>
          <w:rFonts w:ascii="Arial" w:hAnsi="Arial"/>
          <w:color w:val="000000"/>
        </w:rPr>
        <w:t>A utilidade de uma reunião começa no trabalho que precisa de ser feito em conjunto e confirma-se no que acontece depois. Uma preparação clara, oportunidades de participação e decisões acompanhadas oferecem uma base para melhorar essa ligação. Os exemplos apresentados permitem testar essas práticas; a avaliação mostra o que deve ser mantido, ajustado ou abandonado em cada equipa.</w:t>
      </w:r>
    </w:p>
    <w:p>
      <w:pPr>
        <w:pStyle w:val="Heading1"/>
        <w:pageBreakBefore/>
      </w:pPr>
      <w:bookmarkStart w:id="226" w:name="wp6_27"/>
      <w:r>
        <w:t>Anexo de verificação das fontes</w:t>
      </w:r>
      <w:bookmarkEnd w:id="226"/>
    </w:p>
    <w:p>
      <w:pPr>
        <w:jc w:val="left"/>
      </w:pPr>
      <w:r>
        <w:rPr>
          <w:rFonts w:ascii="Arial" w:hAnsi="Arial"/>
          <w:color w:val="000000"/>
        </w:rPr>
        <w:t>As fontes foram consultadas em 10 de setembro de 2026. A verificação abrangeu a autoria, a data, o título, a publicação e o DOI, quando aplicável. Foi também comparada cada afirmação atribuída às fontes com as passagens acessíveis. Esta conferência verifica a correspondência entre o texto e a fonte; não reproduz os estudos nem garante a validade de todas as suas conclusões.</w:t>
      </w:r>
    </w:p>
    <w:p>
      <w:pPr>
        <w:jc w:val="left"/>
      </w:pPr>
      <w:r>
        <w:rPr>
          <w:rFonts w:ascii="Arial" w:hAnsi="Arial"/>
          <w:color w:val="000000"/>
        </w:rPr>
        <w:t>As nove publicações de consultoria foram lidas nos sites das respetivas organizações. Entre os três artigos académicos, foi possível ler uma cópia integral de um deles. Nos outros dois, a análise ficou limitada às partes públicas indicadas neste anexo. Todas as citações no corpo do white paper correspondem a paráfrases, com uma obra por ocorrência.</w:t>
      </w:r>
    </w:p>
    <w:p>
      <w:pPr>
        <w:pStyle w:val="Heading2"/>
      </w:pPr>
      <w:bookmarkStart w:id="227" w:name="wp6_28"/>
      <w:r>
        <w:t>Publicações de consultoria</w:t>
      </w:r>
      <w:bookmarkEnd w:id="227"/>
    </w:p>
    <w:p>
      <w:pPr>
        <w:pStyle w:val="Heading3"/>
        <w:jc w:val="left"/>
      </w:pPr>
      <w:r>
        <w:rPr>
          <w:rFonts w:ascii="Arial" w:hAnsi="Arial"/>
          <w:color w:val="000000"/>
        </w:rPr>
        <w:t>Aminov et al. (2019)</w:t>
      </w:r>
    </w:p>
    <w:p>
      <w:pPr>
        <w:jc w:val="left"/>
      </w:pPr>
      <w:r>
        <w:rPr>
          <w:rFonts w:ascii="Arial" w:hAnsi="Arial"/>
          <w:color w:val="000000"/>
        </w:rPr>
        <w:t>As secções sobre decisões transversais e delegadas distinguem a coordenação entre áreas da autonomia e do acompanhamento de quem decide por delegação. A identificação dos autores, no final do artigo, inclui David Mendelsohn. Os resultados provêm de um inquérito e não demonstram causalidade. Os indicadores também retomados no artigo sobre preparação de reuniões não foram contados como uma segunda confirmação empírica.</w:t>
      </w:r>
    </w:p>
    <w:p>
      <w:pPr>
        <w:pStyle w:val="Heading3"/>
        <w:jc w:val="left"/>
      </w:pPr>
      <w:r>
        <w:rPr>
          <w:rFonts w:ascii="Arial" w:hAnsi="Arial"/>
          <w:color w:val="000000"/>
        </w:rPr>
        <w:t>Bevins e De Smet (2013)</w:t>
      </w:r>
    </w:p>
    <w:p>
      <w:pPr>
        <w:jc w:val="left"/>
      </w:pPr>
      <w:r>
        <w:rPr>
          <w:rFonts w:ascii="Arial" w:hAnsi="Arial"/>
          <w:color w:val="000000"/>
        </w:rPr>
        <w:t>O diagnóstico da sobrecarga de tempo e as recomendações sobre a sua distribuição, os circuitos de decisão e o calendário organizacional sustentam a análise das estruturas e prioridades da empresa. O artigo foi publicado na McKinsey Quarterly em 2013. O seu enquadramento não descreve a situação atual das equipas portuguesas.</w:t>
      </w:r>
    </w:p>
    <w:p>
      <w:pPr>
        <w:pStyle w:val="Heading3"/>
        <w:jc w:val="left"/>
      </w:pPr>
      <w:r>
        <w:rPr>
          <w:rFonts w:ascii="Arial" w:hAnsi="Arial"/>
          <w:color w:val="000000"/>
        </w:rPr>
        <w:t>de Brabandere e Iny (2013)</w:t>
      </w:r>
    </w:p>
    <w:p>
      <w:pPr>
        <w:jc w:val="left"/>
      </w:pPr>
      <w:r>
        <w:rPr>
          <w:rFonts w:ascii="Arial" w:hAnsi="Arial"/>
          <w:color w:val="000000"/>
        </w:rPr>
        <w:t>As passagens sobre a pergunta inicial, as restrições, os pressupostos, a condução e o seguimento sustentam a delimitação do problema e a distinção entre gerar e avaliar ideias. A sequência de 60 minutos e o exercício de escrita individual foram concebidos para este white paper; a fonte não valida essa duração nem essa combinação de etapas.</w:t>
      </w:r>
    </w:p>
    <w:p>
      <w:pPr>
        <w:pStyle w:val="Heading3"/>
        <w:jc w:val="left"/>
      </w:pPr>
      <w:r>
        <w:rPr>
          <w:rFonts w:ascii="Arial" w:hAnsi="Arial"/>
          <w:color w:val="000000"/>
        </w:rPr>
        <w:t>De Smet et al. (2019)</w:t>
      </w:r>
    </w:p>
    <w:p>
      <w:pPr>
        <w:jc w:val="left"/>
      </w:pPr>
      <w:r>
        <w:rPr>
          <w:rFonts w:ascii="Arial" w:hAnsi="Arial"/>
          <w:color w:val="000000"/>
        </w:rPr>
        <w:t>As três perguntas que organizam o artigo tratam da necessidade da reunião, da sua finalidade e do papel de cada participante. O texto apresenta o modelo DARE e apoia a revisão de reuniões redundantes e a definição de responsabilidades. Foi confirmado o enquadramento na McKinsey Quarterly. O artigo não demonstra que qualquer agenda curta melhore as decisões nem valida o piloto aqui apresentado.</w:t>
      </w:r>
    </w:p>
    <w:p>
      <w:pPr>
        <w:pStyle w:val="Heading3"/>
        <w:jc w:val="left"/>
      </w:pPr>
      <w:r>
        <w:rPr>
          <w:rFonts w:ascii="Arial" w:hAnsi="Arial"/>
          <w:color w:val="000000"/>
        </w:rPr>
        <w:t>Korn Ferry (2022)</w:t>
      </w:r>
    </w:p>
    <w:p>
      <w:pPr>
        <w:jc w:val="left"/>
      </w:pPr>
      <w:r>
        <w:rPr>
          <w:rFonts w:ascii="Arial" w:hAnsi="Arial"/>
          <w:color w:val="000000"/>
        </w:rPr>
        <w:t>Foram verificadas as recomendações sobre chat, pequenos grupos, contacto entre colegas e preparação. A publicação recomenda também que todos liguem o vídeo. Essa orientação foi distinguida dos resultados do estudo académico sobre fadiga. Como não existe uma assinatura individual visível, a referência usa a autoria institucional. Rasha Accad é citada na peça, mas não aparece como autora.</w:t>
      </w:r>
    </w:p>
    <w:p>
      <w:pPr>
        <w:pStyle w:val="Heading3"/>
        <w:jc w:val="left"/>
      </w:pPr>
      <w:r>
        <w:rPr>
          <w:rFonts w:ascii="Arial" w:hAnsi="Arial"/>
          <w:color w:val="000000"/>
        </w:rPr>
        <w:t>LeStage et al. (2023)</w:t>
      </w:r>
    </w:p>
    <w:p>
      <w:pPr>
        <w:jc w:val="left"/>
      </w:pPr>
      <w:r>
        <w:rPr>
          <w:rFonts w:ascii="Arial" w:hAnsi="Arial"/>
          <w:color w:val="000000"/>
        </w:rPr>
        <w:t>Foram lidas a descrição da investigação nas empresas, as cinco dimensões do trabalho coletivo e a secção sobre disciplina. Sustentam a atenção à preparação, à condução, ao acompanhamento e ao desenvolvimento continuado das equipas. A associação com o desempenho empresarial não demonstra o efeito causal de uma formação ou de uma sessão isolada.</w:t>
      </w:r>
    </w:p>
    <w:p>
      <w:pPr>
        <w:pStyle w:val="Heading3"/>
        <w:jc w:val="left"/>
      </w:pPr>
      <w:r>
        <w:rPr>
          <w:rFonts w:ascii="Arial" w:hAnsi="Arial"/>
          <w:color w:val="000000"/>
        </w:rPr>
        <w:t>Mankins e Davis-Peccoud (2011)</w:t>
      </w:r>
    </w:p>
    <w:p>
      <w:pPr>
        <w:jc w:val="left"/>
      </w:pPr>
      <w:r>
        <w:rPr>
          <w:rFonts w:ascii="Arial" w:hAnsi="Arial"/>
          <w:color w:val="000000"/>
        </w:rPr>
        <w:t>As quatro recomendações do artigo tratam da necessidade, eficácia, participação e consequências das reuniões. Incluem a distinção entre informar, discutir e decidir, os papéis RAPID e o registo de decisões. Os modelos de preparação e acompanhamento do white paper adaptam essas recomendações. As regras numéricas sobre participantes não foram apresentadas como universais.</w:t>
      </w:r>
    </w:p>
    <w:p>
      <w:pPr>
        <w:pStyle w:val="Heading3"/>
        <w:jc w:val="left"/>
      </w:pPr>
      <w:r>
        <w:rPr>
          <w:rFonts w:ascii="Arial" w:hAnsi="Arial"/>
          <w:color w:val="000000"/>
        </w:rPr>
        <w:t>Spits e Blenko (2021)</w:t>
      </w:r>
    </w:p>
    <w:p>
      <w:pPr>
        <w:jc w:val="left"/>
      </w:pPr>
      <w:r>
        <w:rPr>
          <w:rFonts w:ascii="Arial" w:hAnsi="Arial"/>
          <w:color w:val="000000"/>
        </w:rPr>
        <w:t>Foi verificada a distinção entre o funcionamento corrente e o trabalho de mudança, bem como a revisão do objetivo, da frequência, dos participantes e da preparação. A proposta é dar espaço próprio às exceções operacionais e às escolhas de futuro, na mesma reunião ou em encontros distintos. Os exemplos empresariais não são experiências controladas nem fundamentam durações obrigatórias de 15 ou 30 minutos.</w:t>
      </w:r>
    </w:p>
    <w:p>
      <w:pPr>
        <w:pStyle w:val="Heading3"/>
        <w:jc w:val="left"/>
      </w:pPr>
      <w:r>
        <w:rPr>
          <w:rFonts w:ascii="Arial" w:hAnsi="Arial"/>
          <w:color w:val="000000"/>
        </w:rPr>
        <w:t>Vickberg (2022)</w:t>
      </w:r>
    </w:p>
    <w:p>
      <w:pPr>
        <w:jc w:val="left"/>
      </w:pPr>
      <w:r>
        <w:rPr>
          <w:rFonts w:ascii="Arial" w:hAnsi="Arial"/>
          <w:color w:val="000000"/>
        </w:rPr>
        <w:t>As recomendações finais tratam da tecnologia, da informação prévia e das oportunidades de participação presencial, à distância e fora do horário da reunião. Foram também consultadas as notas metodológicas dos inquéritos Business Chemistry. As amostras não permitem presumir representatividade portuguesa nem inferir as preferências individuais. A referência identifica a autora e o nome completo do blogue, The Business Chemistry Blog.</w:t>
      </w:r>
    </w:p>
    <w:p>
      <w:pPr>
        <w:pStyle w:val="Heading2"/>
      </w:pPr>
      <w:bookmarkStart w:id="228" w:name="wp6_29"/>
      <w:r>
        <w:t>Exemplos e propostas de aplicação</w:t>
      </w:r>
      <w:bookmarkEnd w:id="228"/>
    </w:p>
    <w:p>
      <w:pPr>
        <w:jc w:val="left"/>
      </w:pPr>
      <w:r>
        <w:rPr>
          <w:rFonts w:ascii="Arial" w:hAnsi="Arial"/>
          <w:color w:val="000000"/>
        </w:rPr>
        <w:t>O piloto de quatro semanas, os cinco passos de escolha do formato, as três agendas, os modelos de registo, a regra de três em quatro reuniões e as revisões aos 30 e aos 60 dias foram concebidos para este documento. Precisam de ser adaptados e avaliados no contexto de utilização. O cálculo de horas é aritmético: oito pessoas × 20 minutos = 160 minutos; depois de descontar 80 minutos de preparação adicional, restam 80 minutos antes do acompanhamento posterior. Não corresponde a uma estimativa empírica de poupança ou de retorno financeiro.</w:t>
      </w:r>
    </w:p>
    <w:p>
      <w:pPr/>
      <w:r>
        <w:t>O modelo P&amp;D do capítulo 5 foi conferido no documento Reuniões Eficientes, enviado por Gustavo Ribeiro em 8 de setembro de 2026. A ligação desse modelo às secções 2.3, 4.2 e 4.3 e ao piloto do capítulo 6 é uma adaptação de aplicação. O anexo recebido não constitui uma validação empírica do piloto.</w:t>
      </w:r>
    </w:p>
    <w:p>
      <w:pPr>
        <w:pStyle w:val="Heading2"/>
        <w:pageBreakBefore/>
      </w:pPr>
      <w:bookmarkStart w:id="229" w:name="wp6_30"/>
      <w:r>
        <w:t>Artigos académicos</w:t>
      </w:r>
      <w:bookmarkEnd w:id="229"/>
    </w:p>
    <w:p>
      <w:pPr>
        <w:pStyle w:val="Heading3"/>
        <w:jc w:val="left"/>
      </w:pPr>
      <w:r>
        <w:rPr>
          <w:rFonts w:ascii="Arial" w:hAnsi="Arial"/>
          <w:color w:val="000000"/>
        </w:rPr>
        <w:t>Kauffeld e Lehmann-Willenbrock (2012)</w:t>
      </w:r>
    </w:p>
    <w:p>
      <w:pPr>
        <w:jc w:val="left"/>
      </w:pPr>
      <w:r>
        <w:rPr>
          <w:rFonts w:ascii="Arial" w:hAnsi="Arial"/>
          <w:color w:val="000000"/>
        </w:rPr>
        <w:t>Foram consultados os metadados, o resumo e o apêndice público na Sage. O corpo integral não esteve disponível. O ano de 2012 corresponde ao volume 43, número 2, páginas 130–158. A publicação inicial em linha ocorreu em 25 de dezembro de 2011.</w:t>
      </w:r>
    </w:p>
    <w:p>
      <w:pPr>
        <w:jc w:val="left"/>
      </w:pPr>
      <w:r>
        <w:rPr>
          <w:rFonts w:ascii="Arial" w:hAnsi="Arial"/>
          <w:color w:val="000000"/>
        </w:rPr>
        <w:t>O resumo e as notas do apêndice confirmam 92 reuniões analisadas. Os resultados de satisfação, produtividade e desenvolvimento organizacional usam, respetivamente, 59 reuniões, 30 equipas e 19 organizações. O último resultado foi recolhido 2,5 anos depois. Cada número corresponde a uma análise diferente e não deve ser usado como amostra dos restantes resultados.</w:t>
      </w:r>
    </w:p>
    <w:p>
      <w:pPr>
        <w:jc w:val="left"/>
      </w:pPr>
      <w:r>
        <w:rPr>
          <w:rFonts w:ascii="Arial" w:hAnsi="Arial"/>
          <w:color w:val="000000"/>
        </w:rPr>
        <w:t>O planeamento de ações apresenta correlações positivas e significativas com a satisfação e a produtividade. A correlação com o desenvolvimento organizacional não está assinalada como significativa. As queixas e a crítica pessoal também não apresentam relações negativas significativas com todos os resultados. A redação respeita estas diferenças e o caráter observacional da investigação.</w:t>
      </w:r>
    </w:p>
    <w:p>
      <w:pPr>
        <w:pStyle w:val="Heading3"/>
        <w:jc w:val="left"/>
      </w:pPr>
      <w:r>
        <w:rPr>
          <w:rFonts w:ascii="Arial" w:hAnsi="Arial"/>
          <w:color w:val="000000"/>
        </w:rPr>
        <w:t>Cohen et al. (2011)</w:t>
      </w:r>
    </w:p>
    <w:p>
      <w:pPr>
        <w:jc w:val="left"/>
      </w:pPr>
      <w:r>
        <w:rPr>
          <w:rFonts w:ascii="Arial" w:hAnsi="Arial"/>
          <w:color w:val="000000"/>
        </w:rPr>
        <w:t>Foi consultada a cópia integral disponível no repositório da University of Nebraska at Omaha e confirmada a referência final no registo da APA. O repositório avisa que a cópia pode diferir da versão publicada. Por isso, as passagens são identificadas pelas secções, sem transpor a paginação da cópia para a revista.</w:t>
      </w:r>
    </w:p>
    <w:p>
      <w:pPr>
        <w:jc w:val="left"/>
      </w:pPr>
      <w:r>
        <w:rPr>
          <w:rFonts w:ascii="Arial" w:hAnsi="Arial"/>
          <w:color w:val="000000"/>
        </w:rPr>
        <w:t>As secções «Participants», «Relationships Between Design Characteristics and PMQ», «Interaction Between Design Characteristics and Meeting Size» e «Limitations and Future Research» sustentam as afirmações usadas. A amostra final inclui 367 participantes, após 1 988 convites, com uma taxa reportada de 18,5%. O inquérito foi preenchido até 48 horas após a reunião.</w:t>
      </w:r>
    </w:p>
    <w:p>
      <w:pPr>
        <w:jc w:val="left"/>
      </w:pPr>
      <w:r>
        <w:rPr>
          <w:rFonts w:ascii="Arial" w:hAnsi="Arial"/>
          <w:color w:val="000000"/>
        </w:rPr>
        <w:t>O acesso prévio à agenda associou-se a melhor qualidade percebida do que as outras duas condições. A agenda disponível apenas durante o encontro e a ausência de agenda não diferiram significativamente. A duração também não apresentou associação significativa. Quem se identificou como facilitador avaliou melhor a reunião; a mera presença de um facilitador não teve uma associação direta significativa. Foram mantidos os limites de causalidade, método comum, não resposta e medição de perceções.</w:t>
      </w:r>
    </w:p>
    <w:p>
      <w:pPr>
        <w:pStyle w:val="Heading3"/>
        <w:jc w:val="left"/>
      </w:pPr>
      <w:r>
        <w:rPr>
          <w:rFonts w:ascii="Arial" w:hAnsi="Arial"/>
          <w:color w:val="000000"/>
        </w:rPr>
        <w:t>Shockley et al. (2021)</w:t>
      </w:r>
    </w:p>
    <w:p>
      <w:pPr>
        <w:jc w:val="left"/>
      </w:pPr>
      <w:r>
        <w:rPr>
          <w:rFonts w:ascii="Arial" w:hAnsi="Arial"/>
          <w:color w:val="000000"/>
        </w:rPr>
        <w:t>Foram consultados o registo e o resumo no editor APA; o texto integral não esteve disponível. Os sete autores, o ano, o volume, o número, as páginas e o DOI foram conferidos no registo original. A data de atualização da base de dados não foi usada como ano do artigo.</w:t>
      </w:r>
    </w:p>
    <w:p>
      <w:pPr>
        <w:jc w:val="left"/>
      </w:pPr>
      <w:r>
        <w:rPr>
          <w:rFonts w:ascii="Arial" w:hAnsi="Arial"/>
          <w:color w:val="000000"/>
        </w:rPr>
        <w:t>O resumo confirma a experiência de campo de quatro semanas, a alteração da condição de uso da câmara, 103 trabalhadores e 1 408 observações diárias. Reporta apoio ao modelo que relaciona a câmara ligada com fadiga e esta com menor partilha de contributos e envolvimento. As observações repetidas não equivalem a 1 408 participantes independentes. Não foram acrescentadas dimensões de efeito, especificações de aleatorização ou conclusões de que desligar a câmara beneficia sempre qualquer equipa.</w:t>
      </w:r>
    </w:p>
    <w:p>
      <w:pPr>
        <w:pStyle w:val="Heading1"/>
        <w:pageBreakBefore/>
      </w:pPr>
      <w:bookmarkStart w:id="230" w:name="wp6_31"/>
      <w:r>
        <w:t>Referências citadas</w:t>
      </w:r>
      <w:bookmarkEnd w:id="230"/>
    </w:p>
    <w:p>
      <w:pPr>
        <w:keepLines/>
        <w:spacing w:line="252" w:lineRule="auto" w:after="200"/>
        <w:ind w:left="340" w:hanging="340"/>
        <w:jc w:val="left"/>
      </w:pPr>
      <w:r>
        <w:rPr>
          <w:rFonts w:ascii="Arial" w:hAnsi="Arial"/>
          <w:color w:val="000000"/>
          <w:sz w:val="20"/>
        </w:rPr>
        <w:t xml:space="preserve">Aminov, I., De Smet, A., Jost, G., &amp; Mendelsohn, D. (2019, 30 de abril). </w:t>
      </w:r>
      <w:r>
        <w:rPr>
          <w:rFonts w:ascii="Arial" w:hAnsi="Arial"/>
          <w:i/>
          <w:color w:val="000000"/>
          <w:sz w:val="20"/>
        </w:rPr>
        <w:t>Decision making in the age of urgency</w:t>
      </w:r>
      <w:r>
        <w:rPr>
          <w:rFonts w:ascii="Arial" w:hAnsi="Arial"/>
          <w:color w:val="000000"/>
          <w:sz w:val="20"/>
        </w:rPr>
        <w:t xml:space="preserve">. McKinsey &amp; Company. </w:t>
      </w:r>
      <w:hyperlink r:id="rId11">
        <w:r>
          <w:rPr>
            <w:color w:val="205A70"/>
          </w:rPr>
          <w:t>https://www.mckinsey.com/capabilities/people-and-organization/our-insights/decision-making-in-the-age-of-urgency</w:t>
        </w:r>
      </w:hyperlink>
    </w:p>
    <w:p>
      <w:pPr>
        <w:keepLines/>
        <w:spacing w:line="252" w:lineRule="auto" w:after="200"/>
        <w:ind w:left="340" w:hanging="340"/>
        <w:jc w:val="left"/>
      </w:pPr>
      <w:r>
        <w:rPr>
          <w:rFonts w:ascii="Arial" w:hAnsi="Arial"/>
          <w:color w:val="000000"/>
          <w:sz w:val="20"/>
        </w:rPr>
        <w:t xml:space="preserve">Bevins, F., &amp; De Smet, A. (2013, 1 de janeiro). </w:t>
      </w:r>
      <w:r>
        <w:rPr>
          <w:rFonts w:ascii="Arial" w:hAnsi="Arial"/>
          <w:color w:val="000000"/>
          <w:sz w:val="20"/>
        </w:rPr>
        <w:t xml:space="preserve">Making time management the organization’s priority. </w:t>
      </w:r>
      <w:r>
        <w:rPr>
          <w:rFonts w:ascii="Arial" w:hAnsi="Arial"/>
          <w:i/>
          <w:color w:val="000000"/>
          <w:sz w:val="20"/>
        </w:rPr>
        <w:t>McKinsey Quarterly</w:t>
      </w:r>
      <w:r>
        <w:rPr>
          <w:rFonts w:ascii="Arial" w:hAnsi="Arial"/>
          <w:color w:val="000000"/>
          <w:sz w:val="20"/>
        </w:rPr>
        <w:t xml:space="preserve">. </w:t>
      </w:r>
      <w:hyperlink r:id="rId12">
        <w:r>
          <w:rPr>
            <w:color w:val="205A70"/>
          </w:rPr>
          <w:t>https://www.mckinsey.com/capabilities/people-and-organizational-performance/our-insights/making-time-management-the-organizations-priority</w:t>
        </w:r>
      </w:hyperlink>
    </w:p>
    <w:p>
      <w:pPr>
        <w:keepLines/>
        <w:spacing w:line="252" w:lineRule="auto" w:after="200"/>
        <w:ind w:left="340" w:hanging="340"/>
        <w:jc w:val="left"/>
      </w:pPr>
      <w:r>
        <w:rPr>
          <w:rFonts w:ascii="Arial" w:hAnsi="Arial"/>
          <w:color w:val="000000"/>
          <w:sz w:val="20"/>
        </w:rPr>
        <w:t xml:space="preserve">Cohen, M. A., Rogelberg, S. G., Allen, J. A., &amp; Luong, A. (2011). </w:t>
      </w:r>
      <w:r>
        <w:rPr>
          <w:rFonts w:ascii="Arial" w:hAnsi="Arial"/>
          <w:color w:val="000000"/>
          <w:sz w:val="20"/>
        </w:rPr>
        <w:t xml:space="preserve">Meeting design characteristics and attendee perceptions of staff/team meeting quality. </w:t>
      </w:r>
      <w:r>
        <w:rPr>
          <w:rFonts w:ascii="Arial" w:hAnsi="Arial"/>
          <w:i/>
          <w:color w:val="000000"/>
          <w:sz w:val="20"/>
        </w:rPr>
        <w:t>Group Dynamics: Theory, Research, and Practice, 15</w:t>
      </w:r>
      <w:r>
        <w:rPr>
          <w:rFonts w:ascii="Arial" w:hAnsi="Arial"/>
          <w:color w:val="000000"/>
          <w:sz w:val="20"/>
        </w:rPr>
        <w:t xml:space="preserve">(1), 90–104. </w:t>
      </w:r>
      <w:hyperlink r:id="rId13">
        <w:r>
          <w:rPr>
            <w:color w:val="205A70"/>
          </w:rPr>
          <w:t>https://doi.org/10.1037/a0021549</w:t>
        </w:r>
      </w:hyperlink>
    </w:p>
    <w:p>
      <w:pPr>
        <w:keepLines/>
        <w:spacing w:line="252" w:lineRule="auto" w:after="200"/>
        <w:ind w:left="340" w:hanging="340"/>
        <w:jc w:val="left"/>
      </w:pPr>
      <w:r>
        <w:rPr>
          <w:rFonts w:ascii="Arial" w:hAnsi="Arial"/>
          <w:color w:val="000000"/>
          <w:sz w:val="20"/>
        </w:rPr>
        <w:t xml:space="preserve">de Brabandere, L., &amp; Iny, A. (2013, 18 de setembro). </w:t>
      </w:r>
      <w:r>
        <w:rPr>
          <w:rFonts w:ascii="Arial" w:hAnsi="Arial"/>
          <w:i/>
          <w:color w:val="000000"/>
          <w:sz w:val="20"/>
        </w:rPr>
        <w:t>Building new boxes: How to run brainstorming sessions that work</w:t>
      </w:r>
      <w:r>
        <w:rPr>
          <w:rFonts w:ascii="Arial" w:hAnsi="Arial"/>
          <w:color w:val="000000"/>
          <w:sz w:val="20"/>
        </w:rPr>
        <w:t xml:space="preserve">. Boston Consulting Group. </w:t>
      </w:r>
      <w:hyperlink r:id="rId14">
        <w:r>
          <w:rPr>
            <w:color w:val="205A70"/>
          </w:rPr>
          <w:t>https://www.bcg.com/publications/2013/innovation-strategic-planning-building-new-boxes</w:t>
        </w:r>
      </w:hyperlink>
    </w:p>
    <w:p>
      <w:pPr>
        <w:keepLines/>
        <w:spacing w:line="252" w:lineRule="auto" w:after="200"/>
        <w:ind w:left="340" w:hanging="340"/>
        <w:jc w:val="left"/>
      </w:pPr>
      <w:r>
        <w:rPr>
          <w:rFonts w:ascii="Arial" w:hAnsi="Arial"/>
          <w:color w:val="000000"/>
          <w:sz w:val="20"/>
        </w:rPr>
        <w:t xml:space="preserve">De Smet, A., Jost, G., &amp; Weiss, L. (2019, 8 de maio). </w:t>
      </w:r>
      <w:r>
        <w:rPr>
          <w:rFonts w:ascii="Arial" w:hAnsi="Arial"/>
          <w:color w:val="000000"/>
          <w:sz w:val="20"/>
        </w:rPr>
        <w:t xml:space="preserve">Want a better decision? Plan a better meeting. </w:t>
      </w:r>
      <w:r>
        <w:rPr>
          <w:rFonts w:ascii="Arial" w:hAnsi="Arial"/>
          <w:i/>
          <w:color w:val="000000"/>
          <w:sz w:val="20"/>
        </w:rPr>
        <w:t>McKinsey Quarterly</w:t>
      </w:r>
      <w:r>
        <w:rPr>
          <w:rFonts w:ascii="Arial" w:hAnsi="Arial"/>
          <w:color w:val="000000"/>
          <w:sz w:val="20"/>
        </w:rPr>
        <w:t xml:space="preserve">. </w:t>
      </w:r>
      <w:hyperlink r:id="rId15">
        <w:r>
          <w:rPr>
            <w:color w:val="205A70"/>
          </w:rPr>
          <w:t>https://www.mckinsey.com/capabilities/people-and-organization/our-insights/want-a-better-decision-plan-a-better-meeting</w:t>
        </w:r>
      </w:hyperlink>
    </w:p>
    <w:p>
      <w:pPr>
        <w:keepLines/>
        <w:spacing w:line="252" w:lineRule="auto" w:after="200"/>
        <w:ind w:left="340" w:hanging="340"/>
        <w:jc w:val="left"/>
      </w:pPr>
      <w:r>
        <w:rPr>
          <w:rFonts w:ascii="Arial" w:hAnsi="Arial"/>
          <w:color w:val="000000"/>
          <w:sz w:val="20"/>
        </w:rPr>
        <w:t xml:space="preserve">Kauffeld, S., &amp; Lehmann-Willenbrock, N. (2012). </w:t>
      </w:r>
      <w:r>
        <w:rPr>
          <w:rFonts w:ascii="Arial" w:hAnsi="Arial"/>
          <w:color w:val="000000"/>
          <w:sz w:val="20"/>
        </w:rPr>
        <w:t xml:space="preserve">Meetings matter: Effects of team meetings on team and organizational success. </w:t>
      </w:r>
      <w:r>
        <w:rPr>
          <w:rFonts w:ascii="Arial" w:hAnsi="Arial"/>
          <w:i/>
          <w:color w:val="000000"/>
          <w:sz w:val="20"/>
        </w:rPr>
        <w:t>Small Group Research, 43</w:t>
      </w:r>
      <w:r>
        <w:rPr>
          <w:rFonts w:ascii="Arial" w:hAnsi="Arial"/>
          <w:color w:val="000000"/>
          <w:sz w:val="20"/>
        </w:rPr>
        <w:t xml:space="preserve">(2), 130–158. </w:t>
      </w:r>
      <w:hyperlink r:id="rId16">
        <w:r>
          <w:rPr>
            <w:color w:val="205A70"/>
          </w:rPr>
          <w:t>https://doi.org/10.1177/1046496411429599</w:t>
        </w:r>
      </w:hyperlink>
    </w:p>
    <w:p>
      <w:pPr>
        <w:keepLines/>
        <w:spacing w:line="252" w:lineRule="auto" w:after="200"/>
        <w:ind w:left="340" w:hanging="340"/>
        <w:jc w:val="left"/>
      </w:pPr>
      <w:r>
        <w:rPr>
          <w:rFonts w:ascii="Arial" w:hAnsi="Arial"/>
          <w:color w:val="000000"/>
          <w:sz w:val="20"/>
        </w:rPr>
        <w:t xml:space="preserve">Korn Ferry. (2022, 7 de novembro). </w:t>
      </w:r>
      <w:r>
        <w:rPr>
          <w:rFonts w:ascii="Arial" w:hAnsi="Arial"/>
          <w:i/>
          <w:color w:val="000000"/>
          <w:sz w:val="20"/>
        </w:rPr>
        <w:t>4 ways to make remote meetings effective, even fun</w:t>
      </w:r>
      <w:r>
        <w:rPr>
          <w:rFonts w:ascii="Arial" w:hAnsi="Arial"/>
          <w:color w:val="000000"/>
          <w:sz w:val="20"/>
        </w:rPr>
        <w:t xml:space="preserve">. </w:t>
      </w:r>
      <w:hyperlink r:id="rId17">
        <w:r>
          <w:rPr>
            <w:color w:val="205A70"/>
          </w:rPr>
          <w:t>https://www.kornferry.com/insights/this-week-in-leadership/remote-meetings-efficient</w:t>
        </w:r>
      </w:hyperlink>
    </w:p>
    <w:p>
      <w:pPr>
        <w:keepLines/>
        <w:spacing w:line="252" w:lineRule="auto" w:after="200"/>
        <w:ind w:left="340" w:hanging="340"/>
        <w:jc w:val="left"/>
      </w:pPr>
      <w:r>
        <w:rPr>
          <w:rFonts w:ascii="Arial" w:hAnsi="Arial"/>
          <w:color w:val="000000"/>
          <w:sz w:val="20"/>
        </w:rPr>
        <w:t xml:space="preserve">LeStage, G., Nilsson DeHanas, S., Gerend, P., &amp; Narula, I. (2023, 12 de julho). </w:t>
      </w:r>
      <w:r>
        <w:rPr>
          <w:rFonts w:ascii="Arial" w:hAnsi="Arial"/>
          <w:i/>
          <w:color w:val="000000"/>
          <w:sz w:val="20"/>
        </w:rPr>
        <w:t>At the top, it’s all about teamwork</w:t>
      </w:r>
      <w:r>
        <w:rPr>
          <w:rFonts w:ascii="Arial" w:hAnsi="Arial"/>
          <w:color w:val="000000"/>
          <w:sz w:val="20"/>
        </w:rPr>
        <w:t xml:space="preserve">. Bain &amp; Company. </w:t>
      </w:r>
      <w:hyperlink r:id="rId18">
        <w:r>
          <w:rPr>
            <w:color w:val="205A70"/>
          </w:rPr>
          <w:t>https://www.bain.com/insights/at-the-top-its-all-about-teamwork/</w:t>
        </w:r>
      </w:hyperlink>
    </w:p>
    <w:p>
      <w:pPr>
        <w:keepLines/>
        <w:spacing w:line="252" w:lineRule="auto" w:after="200"/>
        <w:ind w:left="340" w:hanging="340"/>
        <w:jc w:val="left"/>
      </w:pPr>
      <w:r>
        <w:rPr>
          <w:rFonts w:ascii="Arial" w:hAnsi="Arial"/>
          <w:color w:val="000000"/>
          <w:sz w:val="20"/>
        </w:rPr>
        <w:t xml:space="preserve">Mankins, M., &amp; Davis-Peccoud, J. (2011, 7 de junho). </w:t>
      </w:r>
      <w:r>
        <w:rPr>
          <w:rFonts w:ascii="Arial" w:hAnsi="Arial"/>
          <w:i/>
          <w:color w:val="000000"/>
          <w:sz w:val="20"/>
        </w:rPr>
        <w:t>Decision-focused meetings</w:t>
      </w:r>
      <w:r>
        <w:rPr>
          <w:rFonts w:ascii="Arial" w:hAnsi="Arial"/>
          <w:color w:val="000000"/>
          <w:sz w:val="20"/>
        </w:rPr>
        <w:t xml:space="preserve">. Bain &amp; Company. </w:t>
      </w:r>
      <w:hyperlink r:id="rId19">
        <w:r>
          <w:rPr>
            <w:color w:val="205A70"/>
          </w:rPr>
          <w:t>https://www.bain.com/insights/decision-insights-9-decision-focused-meetings/</w:t>
        </w:r>
      </w:hyperlink>
    </w:p>
    <w:p>
      <w:pPr>
        <w:keepLines/>
        <w:spacing w:line="252" w:lineRule="auto" w:after="200"/>
        <w:ind w:left="340" w:hanging="340"/>
      </w:pPr>
      <w:r>
        <w:rPr>
          <w:sz w:val="20"/>
        </w:rPr>
        <w:t>Reuniões eficientes: Como transformar tempo de reunião em decisões, alinhamento e ação. (2026, setembro). [Documento de apoio ao webinar, 6 páginas; enviado por Gustavo Ribeiro por e-mail em 8 de setembro de 2026].</w:t>
      </w:r>
    </w:p>
    <w:p>
      <w:pPr>
        <w:keepLines/>
        <w:spacing w:line="252" w:lineRule="auto" w:after="200"/>
        <w:ind w:left="340" w:hanging="340"/>
        <w:jc w:val="left"/>
      </w:pPr>
      <w:r>
        <w:rPr>
          <w:rFonts w:ascii="Arial" w:hAnsi="Arial"/>
          <w:color w:val="000000"/>
          <w:sz w:val="20"/>
        </w:rPr>
        <w:t xml:space="preserve">Shockley, K. M., Gabriel, A. S., Robertson, D., Rosen, C. C., Chawla, N., Ganster, M. L., &amp; Ezerins, M. E. (2021). </w:t>
      </w:r>
      <w:r>
        <w:rPr>
          <w:rFonts w:ascii="Arial" w:hAnsi="Arial"/>
          <w:color w:val="000000"/>
          <w:sz w:val="20"/>
        </w:rPr>
        <w:t xml:space="preserve">The fatiguing effects of camera use in virtual meetings: A within-person field experiment. </w:t>
      </w:r>
      <w:r>
        <w:rPr>
          <w:rFonts w:ascii="Arial" w:hAnsi="Arial"/>
          <w:i/>
          <w:color w:val="000000"/>
          <w:sz w:val="20"/>
        </w:rPr>
        <w:t>Journal of Applied Psychology, 106</w:t>
      </w:r>
      <w:r>
        <w:rPr>
          <w:rFonts w:ascii="Arial" w:hAnsi="Arial"/>
          <w:color w:val="000000"/>
          <w:sz w:val="20"/>
        </w:rPr>
        <w:t xml:space="preserve">(8), 1137–1155. </w:t>
      </w:r>
      <w:hyperlink r:id="rId20">
        <w:r>
          <w:rPr>
            <w:color w:val="205A70"/>
          </w:rPr>
          <w:t>https://doi.org/10.1037/apl0000948</w:t>
        </w:r>
      </w:hyperlink>
    </w:p>
    <w:p>
      <w:pPr>
        <w:keepLines/>
        <w:spacing w:line="252" w:lineRule="auto" w:after="200"/>
        <w:ind w:left="340" w:hanging="340"/>
        <w:jc w:val="left"/>
      </w:pPr>
      <w:r>
        <w:rPr>
          <w:rFonts w:ascii="Arial" w:hAnsi="Arial"/>
          <w:color w:val="000000"/>
          <w:sz w:val="20"/>
        </w:rPr>
        <w:t xml:space="preserve">Spits, J., &amp; Blenko, M. (2021, 3 de março). </w:t>
      </w:r>
      <w:r>
        <w:rPr>
          <w:rFonts w:ascii="Arial" w:hAnsi="Arial"/>
          <w:i/>
          <w:color w:val="000000"/>
          <w:sz w:val="20"/>
        </w:rPr>
        <w:t>How to make the most of executive team meetings</w:t>
      </w:r>
      <w:r>
        <w:rPr>
          <w:rFonts w:ascii="Arial" w:hAnsi="Arial"/>
          <w:color w:val="000000"/>
          <w:sz w:val="20"/>
        </w:rPr>
        <w:t xml:space="preserve">. Bain &amp; Company. </w:t>
      </w:r>
      <w:hyperlink r:id="rId21">
        <w:r>
          <w:rPr>
            <w:color w:val="205A70"/>
          </w:rPr>
          <w:t>https://www.bain.com/insights/how-to-make-the-most-of-executive-team-meetings/</w:t>
        </w:r>
      </w:hyperlink>
    </w:p>
    <w:p>
      <w:pPr>
        <w:keepLines/>
        <w:spacing w:line="252" w:lineRule="auto" w:after="200"/>
        <w:ind w:left="340" w:hanging="340"/>
        <w:jc w:val="left"/>
      </w:pPr>
      <w:r>
        <w:rPr>
          <w:rFonts w:ascii="Arial" w:hAnsi="Arial"/>
          <w:color w:val="000000"/>
          <w:sz w:val="20"/>
        </w:rPr>
        <w:t xml:space="preserve">Vickberg, S. (2022, 30 de março). </w:t>
      </w:r>
      <w:r>
        <w:rPr>
          <w:rFonts w:ascii="Arial" w:hAnsi="Arial"/>
          <w:color w:val="000000"/>
          <w:sz w:val="20"/>
        </w:rPr>
        <w:t xml:space="preserve">Making hybrid work for everyone. </w:t>
      </w:r>
      <w:r>
        <w:rPr>
          <w:rFonts w:ascii="Arial" w:hAnsi="Arial"/>
          <w:i/>
          <w:color w:val="000000"/>
          <w:sz w:val="20"/>
        </w:rPr>
        <w:t>The Business Chemistry Blog</w:t>
      </w:r>
      <w:r>
        <w:rPr>
          <w:rFonts w:ascii="Arial" w:hAnsi="Arial"/>
          <w:color w:val="000000"/>
          <w:sz w:val="20"/>
        </w:rPr>
        <w:t xml:space="preserve">. </w:t>
      </w:r>
      <w:hyperlink r:id="rId22">
        <w:r>
          <w:rPr>
            <w:color w:val="205A70"/>
          </w:rPr>
          <w:t>https://www.deloitte.com/us/en/services/consulting/blogs/business-chemistry/making-hybrid-work-for-everyone.html</w:t>
        </w:r>
      </w:hyperlink>
    </w:p>
    <w:sectPr w:rsidR="00FC693F" w:rsidRPr="0006063C" w:rsidSect="00034616">
      <w:headerReference w:type="default" r:id="rId9"/>
      <w:footerReference w:type="default" r:id="rId10"/>
      <w:headerReference w:type="first" r:id="rId23"/>
      <w:footerReference w:type="first" r:id="rId24"/>
      <w:pgSz w:w="11906" w:h="16838"/>
      <w:pgMar w:top="1134" w:right="1247" w:bottom="1134" w:left="1247" w:header="454" w:footer="48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Reuniões eficazes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0">
    <w:multiLevelType w:val="multilevel"/>
    <w:lvl w:ilvl="0">
      <w:start w:val="1"/>
      <w:numFmt w:val="decimal"/>
      <w:lvlText w:val="%1"/>
      <w:suff w:val="space"/>
    </w:lvl>
    <w:lvl w:ilvl="1">
      <w:start w:val="1"/>
      <w:numFmt w:val="decimal"/>
      <w:lvlText w:val="%1.%2"/>
      <w:suff w:val="space"/>
    </w:lvl>
  </w:abstractNum>
  <w:num w:numId="80">
    <w:abstractNumId w:val="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widowControl/>
      <w:spacing w:line="259" w:lineRule="auto" w:after="120"/>
    </w:pPr>
    <w:rPr>
      <w:rFonts w:ascii="Arial" w:hAnsi="Arial"/>
      <w:color w:val="000000"/>
      <w:sz w:val="22"/>
      <w:lang w:val="pt-PT"/>
    </w:rPr>
  </w:style>
  <w:style w:type="paragraph" w:styleId="Header">
    <w:name w:val="header"/>
    <w:basedOn w:val="Normal"/>
    <w:link w:val="HeaderChar"/>
    <w:uiPriority w:val="99"/>
    <w:unhideWhenUsed/>
    <w:rsid w:val="00E618BF"/>
    <w:pPr>
      <w:pageBreakBefore w:val="0"/>
      <w:tabs>
        <w:tab w:val="center" w:pos="4680"/>
        <w:tab w:val="right" w:pos="9360"/>
      </w:tabs>
      <w:spacing w:after="0" w:line="240" w:lineRule="auto"/>
    </w:pPr>
    <w:rPr>
      <w:rFonts w:ascii="Arial" w:hAnsi="Arial"/>
      <w:color w:val="000000"/>
      <w:lang w:val="pt-PT"/>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pageBreakBefore w:val="0"/>
      <w:tabs>
        <w:tab w:val="center" w:pos="4680"/>
        <w:tab w:val="right" w:pos="9360"/>
      </w:tabs>
      <w:spacing w:after="0" w:line="240" w:lineRule="auto"/>
    </w:pPr>
    <w:rPr>
      <w:rFonts w:ascii="Arial" w:hAnsi="Arial"/>
      <w:color w:val="000000"/>
      <w:lang w:val="pt-PT"/>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0" w:after="140"/>
      <w:outlineLvl w:val="0"/>
    </w:pPr>
    <w:rPr>
      <w:rFonts w:asciiTheme="majorHAnsi" w:eastAsiaTheme="majorEastAsia" w:hAnsiTheme="majorHAnsi" w:cstheme="majorBidi" w:ascii="Arial" w:hAnsi="Arial"/>
      <w:b/>
      <w:bCs/>
      <w:color w:val="000000"/>
      <w:sz w:val="40"/>
      <w:szCs w:val="28"/>
      <w:lang w:val="pt-PT"/>
    </w:rPr>
  </w:style>
  <w:style w:type="paragraph" w:styleId="Heading2">
    <w:name w:val="heading 2"/>
    <w:basedOn w:val="Normal"/>
    <w:next w:val="Normal"/>
    <w:link w:val="Heading2Char"/>
    <w:uiPriority w:val="9"/>
    <w:unhideWhenUsed/>
    <w:qFormat/>
    <w:rsid w:val="00FC693F"/>
    <w:pPr>
      <w:keepNext/>
      <w:keepLines/>
      <w:pageBreakBefore w:val="0"/>
      <w:spacing w:before="240" w:after="140"/>
      <w:outlineLvl w:val="1"/>
    </w:pPr>
    <w:rPr>
      <w:rFonts w:asciiTheme="majorHAnsi" w:eastAsiaTheme="majorEastAsia" w:hAnsiTheme="majorHAnsi" w:cstheme="majorBidi" w:ascii="Arial" w:hAnsi="Arial"/>
      <w:b/>
      <w:bCs/>
      <w:color w:val="000000"/>
      <w:sz w:val="26"/>
      <w:szCs w:val="26"/>
      <w:lang w:val="pt-PT"/>
    </w:rPr>
  </w:style>
  <w:style w:type="paragraph" w:styleId="Heading3">
    <w:name w:val="heading 3"/>
    <w:basedOn w:val="Normal"/>
    <w:next w:val="Normal"/>
    <w:link w:val="Heading3Char"/>
    <w:uiPriority w:val="9"/>
    <w:unhideWhenUsed/>
    <w:qFormat/>
    <w:rsid w:val="00FC693F"/>
    <w:pPr>
      <w:keepNext/>
      <w:keepLines/>
      <w:pageBreakBefore w:val="0"/>
      <w:spacing w:before="240" w:after="140"/>
      <w:outlineLvl w:val="2"/>
    </w:pPr>
    <w:rPr>
      <w:rFonts w:asciiTheme="majorHAnsi" w:eastAsiaTheme="majorEastAsia" w:hAnsiTheme="majorHAnsi" w:cstheme="majorBidi" w:ascii="Arial" w:hAnsi="Arial"/>
      <w:b/>
      <w:bCs/>
      <w:color w:val="000000"/>
      <w:sz w:val="23"/>
      <w:lang w:val="pt-PT"/>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pt-PT"/>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pt-PT"/>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pt-PT"/>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pt-PT"/>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pt-PT"/>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pt-PT"/>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20" w:line="240" w:lineRule="auto" w:before="180"/>
      <w:contextualSpacing/>
    </w:pPr>
    <w:rPr>
      <w:rFonts w:asciiTheme="majorHAnsi" w:eastAsiaTheme="majorEastAsia" w:hAnsiTheme="majorHAnsi" w:cstheme="majorBidi" w:ascii="Arial" w:hAnsi="Arial"/>
      <w:color w:val="000000"/>
      <w:spacing w:val="5"/>
      <w:kern w:val="28"/>
      <w:sz w:val="62"/>
      <w:szCs w:val="52"/>
      <w:lang w:val="pt-PT"/>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180" w:after="120"/>
    </w:pPr>
    <w:rPr>
      <w:rFonts w:asciiTheme="majorHAnsi" w:eastAsiaTheme="majorEastAsia" w:hAnsiTheme="majorHAnsi" w:cstheme="majorBidi" w:ascii="Arial" w:hAnsi="Arial"/>
      <w:i/>
      <w:iCs/>
      <w:color w:val="000000"/>
      <w:spacing w:val="15"/>
      <w:sz w:val="24"/>
      <w:szCs w:val="24"/>
      <w:lang w:val="pt-PT"/>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pt-PT"/>
    </w:rPr>
  </w:style>
  <w:style w:type="paragraph" w:styleId="BodyText">
    <w:name w:val="Body Text"/>
    <w:basedOn w:val="Normal"/>
    <w:link w:val="BodyTextChar"/>
    <w:uiPriority w:val="99"/>
    <w:unhideWhenUsed/>
    <w:rsid w:val="00AA1D8D"/>
    <w:pPr>
      <w:spacing w:after="120"/>
    </w:pPr>
    <w:rPr>
      <w:lang w:val="pt-PT"/>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pt-PT"/>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pt-PT"/>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pt-PT"/>
    </w:rPr>
  </w:style>
  <w:style w:type="paragraph" w:styleId="List2">
    <w:name w:val="List 2"/>
    <w:basedOn w:val="Normal"/>
    <w:uiPriority w:val="99"/>
    <w:unhideWhenUsed/>
    <w:rsid w:val="00326F90"/>
    <w:pPr>
      <w:ind w:left="720" w:hanging="360"/>
      <w:contextualSpacing/>
    </w:pPr>
    <w:rPr>
      <w:lang w:val="pt-PT"/>
    </w:rPr>
  </w:style>
  <w:style w:type="paragraph" w:styleId="List3">
    <w:name w:val="List 3"/>
    <w:basedOn w:val="Normal"/>
    <w:uiPriority w:val="99"/>
    <w:unhideWhenUsed/>
    <w:rsid w:val="00326F90"/>
    <w:pPr>
      <w:ind w:left="1080" w:hanging="360"/>
      <w:contextualSpacing/>
    </w:pPr>
    <w:rPr>
      <w:lang w:val="pt-PT"/>
    </w:rPr>
  </w:style>
  <w:style w:type="paragraph" w:styleId="ListBullet">
    <w:name w:val="List Bullet"/>
    <w:basedOn w:val="Normal"/>
    <w:uiPriority w:val="99"/>
    <w:unhideWhenUsed/>
    <w:rsid w:val="00326F90"/>
    <w:pPr>
      <w:numPr>
        <w:numId w:val="1"/>
      </w:numPr>
      <w:contextualSpacing/>
    </w:pPr>
    <w:rPr>
      <w:lang w:val="pt-PT"/>
    </w:rPr>
  </w:style>
  <w:style w:type="paragraph" w:styleId="ListBullet2">
    <w:name w:val="List Bullet 2"/>
    <w:basedOn w:val="Normal"/>
    <w:uiPriority w:val="99"/>
    <w:unhideWhenUsed/>
    <w:rsid w:val="00326F90"/>
    <w:pPr>
      <w:numPr>
        <w:numId w:val="2"/>
      </w:numPr>
      <w:contextualSpacing/>
    </w:pPr>
    <w:rPr>
      <w:lang w:val="pt-PT"/>
    </w:rPr>
  </w:style>
  <w:style w:type="paragraph" w:styleId="ListBullet3">
    <w:name w:val="List Bullet 3"/>
    <w:basedOn w:val="Normal"/>
    <w:uiPriority w:val="99"/>
    <w:unhideWhenUsed/>
    <w:rsid w:val="00326F90"/>
    <w:pPr>
      <w:numPr>
        <w:numId w:val="3"/>
      </w:numPr>
      <w:contextualSpacing/>
    </w:pPr>
    <w:rPr>
      <w:lang w:val="pt-PT"/>
    </w:rPr>
  </w:style>
  <w:style w:type="paragraph" w:styleId="ListNumber">
    <w:name w:val="List Number"/>
    <w:basedOn w:val="Normal"/>
    <w:uiPriority w:val="99"/>
    <w:unhideWhenUsed/>
    <w:rsid w:val="00326F90"/>
    <w:pPr>
      <w:numPr>
        <w:numId w:val="5"/>
      </w:numPr>
      <w:contextualSpacing/>
    </w:pPr>
    <w:rPr>
      <w:lang w:val="pt-PT"/>
    </w:rPr>
  </w:style>
  <w:style w:type="paragraph" w:styleId="ListNumber2">
    <w:name w:val="List Number 2"/>
    <w:basedOn w:val="Normal"/>
    <w:uiPriority w:val="99"/>
    <w:unhideWhenUsed/>
    <w:rsid w:val="0029639D"/>
    <w:pPr>
      <w:numPr>
        <w:numId w:val="6"/>
      </w:numPr>
      <w:contextualSpacing/>
    </w:pPr>
    <w:rPr>
      <w:lang w:val="pt-PT"/>
    </w:rPr>
  </w:style>
  <w:style w:type="paragraph" w:styleId="ListNumber3">
    <w:name w:val="List Number 3"/>
    <w:basedOn w:val="Normal"/>
    <w:uiPriority w:val="99"/>
    <w:unhideWhenUsed/>
    <w:rsid w:val="0029639D"/>
    <w:pPr>
      <w:numPr>
        <w:numId w:val="7"/>
      </w:numPr>
      <w:contextualSpacing/>
    </w:pPr>
    <w:rPr>
      <w:lang w:val="pt-PT"/>
    </w:rPr>
  </w:style>
  <w:style w:type="paragraph" w:styleId="ListContinue">
    <w:name w:val="List Continue"/>
    <w:basedOn w:val="Normal"/>
    <w:uiPriority w:val="99"/>
    <w:unhideWhenUsed/>
    <w:rsid w:val="0029639D"/>
    <w:pPr>
      <w:spacing w:after="120"/>
      <w:ind w:left="360"/>
      <w:contextualSpacing/>
    </w:pPr>
    <w:rPr>
      <w:lang w:val="pt-PT"/>
    </w:rPr>
  </w:style>
  <w:style w:type="paragraph" w:styleId="ListContinue2">
    <w:name w:val="List Continue 2"/>
    <w:basedOn w:val="Normal"/>
    <w:uiPriority w:val="99"/>
    <w:unhideWhenUsed/>
    <w:rsid w:val="0029639D"/>
    <w:pPr>
      <w:spacing w:after="120"/>
      <w:ind w:left="720"/>
      <w:contextualSpacing/>
    </w:pPr>
    <w:rPr>
      <w:lang w:val="pt-PT"/>
    </w:rPr>
  </w:style>
  <w:style w:type="paragraph" w:styleId="ListContinue3">
    <w:name w:val="List Continue 3"/>
    <w:basedOn w:val="Normal"/>
    <w:uiPriority w:val="99"/>
    <w:unhideWhenUsed/>
    <w:rsid w:val="0029639D"/>
    <w:pPr>
      <w:spacing w:after="120"/>
      <w:ind w:left="1080"/>
      <w:contextualSpacing/>
    </w:pPr>
    <w:rPr>
      <w:lang w:val="pt-PT"/>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pt-PT"/>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pt-PT"/>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pt-PT"/>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lang w:val="pt-PT"/>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pt-PT"/>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keepNext w:val="0"/>
      <w:tabs>
        <w:tab w:pos="9383" w:val="right" w:leader="dot"/>
      </w:tabs>
      <w:spacing w:after="180" w:before="120"/>
      <w:ind w:left="0"/>
    </w:pPr>
    <w:rPr>
      <w:rFonts w:ascii="Arial" w:hAnsi="Arial"/>
      <w:b/>
      <w:sz w:val="21"/>
    </w:rPr>
  </w:style>
  <w:style w:type="paragraph" w:customStyle="1" w:styleId="TOC2">
    <w:name w:val="TOC 2"/>
    <w:basedOn w:val="Normal"/>
    <w:pPr>
      <w:keepNext w:val="0"/>
      <w:tabs>
        <w:tab w:pos="9383" w:val="right" w:leader="dot"/>
      </w:tabs>
      <w:spacing w:after="100" w:before="0"/>
      <w:ind w:left="312"/>
    </w:pPr>
    <w:rPr>
      <w:rFonts w:ascii="Arial" w:hAnsi="Arial"/>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ckinsey.com/capabilities/people-and-organization/our-insights/decision-making-in-the-age-of-urgency" TargetMode="External"/><Relationship Id="rId12" Type="http://schemas.openxmlformats.org/officeDocument/2006/relationships/hyperlink" Target="https://www.mckinsey.com/capabilities/people-and-organizational-performance/our-insights/making-time-management-the-organizations-priority" TargetMode="External"/><Relationship Id="rId13" Type="http://schemas.openxmlformats.org/officeDocument/2006/relationships/hyperlink" Target="https://doi.org/10.1037/a0021549" TargetMode="External"/><Relationship Id="rId14" Type="http://schemas.openxmlformats.org/officeDocument/2006/relationships/hyperlink" Target="https://www.bcg.com/publications/2013/innovation-strategic-planning-building-new-boxes" TargetMode="External"/><Relationship Id="rId15" Type="http://schemas.openxmlformats.org/officeDocument/2006/relationships/hyperlink" Target="https://www.mckinsey.com/capabilities/people-and-organization/our-insights/want-a-better-decision-plan-a-better-meeting" TargetMode="External"/><Relationship Id="rId16" Type="http://schemas.openxmlformats.org/officeDocument/2006/relationships/hyperlink" Target="https://doi.org/10.1177/1046496411429599" TargetMode="External"/><Relationship Id="rId17" Type="http://schemas.openxmlformats.org/officeDocument/2006/relationships/hyperlink" Target="https://www.kornferry.com/insights/this-week-in-leadership/remote-meetings-efficient" TargetMode="External"/><Relationship Id="rId18" Type="http://schemas.openxmlformats.org/officeDocument/2006/relationships/hyperlink" Target="https://www.bain.com/insights/at-the-top-its-all-about-teamwork/" TargetMode="External"/><Relationship Id="rId19" Type="http://schemas.openxmlformats.org/officeDocument/2006/relationships/hyperlink" Target="https://www.bain.com/insights/decision-insights-9-decision-focused-meetings/" TargetMode="External"/><Relationship Id="rId20" Type="http://schemas.openxmlformats.org/officeDocument/2006/relationships/hyperlink" Target="https://doi.org/10.1037/apl0000948" TargetMode="External"/><Relationship Id="rId21" Type="http://schemas.openxmlformats.org/officeDocument/2006/relationships/hyperlink" Target="https://www.bain.com/insights/how-to-make-the-most-of-executive-team-meetings/" TargetMode="External"/><Relationship Id="rId22" Type="http://schemas.openxmlformats.org/officeDocument/2006/relationships/hyperlink" Target="https://www.deloitte.com/us/en/services/consulting/blogs/business-chemistry/making-hybrid-work-for-everyone.html" TargetMode="External"/><Relationship Id="rId23" Type="http://schemas.openxmlformats.org/officeDocument/2006/relationships/header" Target="header2.xml"/><Relationship Id="rId2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Reuniões eficazes para decidir e executar melhor</dc:title>
  <dc:subject>White paper sobre reuniões eficazes</dc:subject>
  <dc:creator>Gonçalo Ribeiro; Gustavo Ribeiro</dc:creator>
  <cp:keywords/>
  <dc:description>generated by python-docx</dc:description>
  <cp:lastModifiedBy/>
  <cp:revision>1</cp:revision>
  <dcterms:created xsi:type="dcterms:W3CDTF">2013-12-23T23:15:00Z</dcterms:created>
  <dcterms:modified xsi:type="dcterms:W3CDTF">2013-12-23T23:15:00Z</dcterms:modified>
  <cp:category/>
  <dc:language>pt-PT</dc:language>
</cp:coreProperties>
</file>